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5"/>
        <w:spacing w:before="120" w:after="60"/>
        <w:jc w:val="center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KARTA BEZPEČNOSTNÝCH ÚDAJOV</w:t>
      </w:r>
    </w:p>
    <w:p>
      <w:pPr>
        <w:pStyle w:val="Nadpis5"/>
        <w:spacing w:before="120" w:after="60"/>
        <w:jc w:val="center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NARIADENIE KOMISIE (EÚ) 2020/878 z 18. júna 2020,                             </w:t>
      </w:r>
    </w:p>
    <w:p>
      <w:pPr>
        <w:pStyle w:val="Nadpis5"/>
        <w:spacing w:before="120" w:after="60"/>
        <w:jc w:val="center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ktorým sa mení príloha II k nariadeniu Európskeho parlamentu a Rady (ES) č. 1907/2006      o registrácii, hodnotení, autorizácii a obmedzovaní chemikálií (REACH) </w:t>
      </w:r>
    </w:p>
    <w:p>
      <w:pPr>
        <w:pStyle w:val="Telotextu"/>
        <w:spacing w:before="120" w:after="60"/>
        <w:jc w:val="left"/>
        <w:rPr>
          <w:rStyle w:val="Silnzvraznenie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</w:r>
    </w:p>
    <w:p>
      <w:pPr>
        <w:pStyle w:val="Telotextu"/>
        <w:jc w:val="left"/>
        <w:rPr/>
      </w:pP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Dátum vydania:       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30.11.2012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                                                    Počet strán: 10                                            Dátum revízie 1:      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01.06.2018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                                                                                           Dátum revízie 2</w:t>
        <w:tab/>
        <w:t>:</w:t>
        <w:tab/>
        <w:tab/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</w:t>
      </w:r>
      <w:bookmarkStart w:id="0" w:name="__DdeLink__1570_1665803792"/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11.12.2020</w:t>
      </w:r>
      <w:bookmarkEnd w:id="0"/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                                                                                             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Dátum revízie 3</w:t>
        <w:tab/>
        <w:t>:</w:t>
        <w:tab/>
        <w:tab/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31.12.2022                                                                                 </w:t>
      </w:r>
      <w:r>
        <w:rPr>
          <w:rStyle w:val="Silnzvraznenie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Dátum revízie 4</w:t>
        <w:tab/>
        <w:t>:</w:t>
        <w:tab/>
        <w:tab/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31.12.2024</w:t>
      </w:r>
    </w:p>
    <w:p>
      <w:pPr>
        <w:pStyle w:val="Nadpis5"/>
        <w:rPr/>
      </w:pPr>
      <w:r>
        <w:rPr/>
      </w:r>
    </w:p>
    <w:p>
      <w:pPr>
        <w:pStyle w:val="Nadpis5"/>
        <w:rPr/>
      </w:pPr>
      <w:hyperlink r:id="rId2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1: Identifikácia látky/zmesi a spoločnosti/podniku</w:t>
        </w:r>
      </w:hyperlink>
    </w:p>
    <w:p>
      <w:pPr>
        <w:pStyle w:val="Telotextu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1.1. Identifikátor produktu: Obchodný názov výrobku: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CIPRO </w:t>
      </w:r>
      <w:bookmarkStart w:id="1" w:name="__DdeLink__804_3583187962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position w:val="8"/>
          <w:sz w:val="28"/>
          <w:szCs w:val="28"/>
          <w:u w:val="none"/>
          <w:em w:val="none"/>
        </w:rPr>
        <w:t xml:space="preserve">® </w:t>
      </w:r>
      <w:bookmarkEnd w:id="1"/>
      <w:r>
        <w:rPr>
          <w:rFonts w:ascii="Times New Roman" w:hAnsi="Times New Roman"/>
          <w:b/>
          <w:bCs/>
          <w:sz w:val="28"/>
          <w:szCs w:val="28"/>
        </w:rPr>
        <w:t xml:space="preserve">cream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8"/>
          <w:szCs w:val="28"/>
        </w:rPr>
        <w:t>citrón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>UFI kód: DJ10-40AM-200T-RAR4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1.2. Relevantné identifikované použitia látky alebo zmesi a použitia, ktoré sa neodporúčajú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Použitie látky/zmesi: krémový čistiaci prípravok určený na čistenie keramických, pochrómovaných, smaltovaných a iných povrchov v domácnosti                                   Odporúčané obmedzenia z hľadiska používania: údaje nie sú k dispozícií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1.3. Údaje o dodávateľovi karty bezpečnostných údajov                                                        Výrobca: PERFEKT – SH s.r.o., Hliníková 45, 952 01, Vráble                                                                         tel: 037/7833773, 037/7834841, fax: 037/7833773, </w:t>
      </w:r>
      <w:hyperlink r:id="rId3">
        <w:r>
          <w:rPr>
            <w:rStyle w:val="Internetovodkaz"/>
            <w:rFonts w:ascii="Times New Roman" w:hAnsi="Times New Roman"/>
            <w:b w:val="false"/>
            <w:i w:val="false"/>
            <w:caps w:val="false"/>
            <w:smallCaps w:val="false"/>
            <w:color w:val="auto"/>
            <w:spacing w:val="0"/>
            <w:sz w:val="24"/>
            <w:szCs w:val="24"/>
          </w:rPr>
          <w:t>www.perfe.sk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, perfe@perfe.sk                                                                                                </w:t>
        <w:br/>
        <w:t xml:space="preserve">1.4. Núdzové telefónne číslo                                                                                                                Národné toxikologické informačné centrum, Limbová 5, 833 05 Bratislava                           tel: + 421 2 5477 4166, mobil: +421 911 166 066,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 fax 02/54774605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4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2: Identifikácia nebezpečnosti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2.1. Klasifikácia látky alebo zmesi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Klasifikácia podľa Nariadenia (ES) č. 1272/2008 CLP.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ážne podráždenie očí, kategória 2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Sp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ôsobuje vážne podráždenie očí.                                                             Škodlivý pre vodné organizmy, s dlhodobými účinkami.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2.2. Prvky označovania</w:t>
      </w:r>
    </w:p>
    <w:tbl>
      <w:tblPr>
        <w:tblW w:w="9072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3023"/>
        <w:gridCol w:w="6048"/>
      </w:tblGrid>
      <w:tr>
        <w:trPr/>
        <w:tc>
          <w:tcPr>
            <w:tcW w:w="30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sz w:val="24"/>
                <w:szCs w:val="24"/>
                <w:u w:val="none"/>
                <w:em w:val="none"/>
              </w:rPr>
              <w:t>Symbol nebezpe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čenstva:  </w:t>
            </w:r>
          </w:p>
          <w:p>
            <w:pPr>
              <w:pStyle w:val="Telotextu"/>
              <w:widowControl/>
              <w:spacing w:before="0" w:after="225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r>
          </w:p>
        </w:tc>
        <w:tc>
          <w:tcPr>
            <w:tcW w:w="604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1618615</wp:posOffset>
                  </wp:positionH>
                  <wp:positionV relativeFrom="paragraph">
                    <wp:posOffset>635</wp:posOffset>
                  </wp:positionV>
                  <wp:extent cx="762000" cy="581660"/>
                  <wp:effectExtent l="0" t="0" r="0" b="0"/>
                  <wp:wrapSquare wrapText="largest"/>
                  <wp:docPr id="1" name="Obrázok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ok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8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HS 07</w:t>
            </w:r>
          </w:p>
        </w:tc>
      </w:tr>
      <w:tr>
        <w:trPr/>
        <w:tc>
          <w:tcPr>
            <w:tcW w:w="30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Výstražné slovo:     </w:t>
            </w:r>
          </w:p>
        </w:tc>
        <w:tc>
          <w:tcPr>
            <w:tcW w:w="604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Pozor</w:t>
            </w:r>
          </w:p>
        </w:tc>
      </w:tr>
      <w:tr>
        <w:trPr/>
        <w:tc>
          <w:tcPr>
            <w:tcW w:w="30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Výstražné upozornenie:    </w:t>
            </w:r>
          </w:p>
        </w:tc>
        <w:tc>
          <w:tcPr>
            <w:tcW w:w="604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H 319 Spôsobuje vážne podráždenie očí.                                               H 412 Škodlivý pre vodné organizmy, s dlhodobými účinkami.</w:t>
            </w:r>
          </w:p>
        </w:tc>
      </w:tr>
      <w:tr>
        <w:trPr/>
        <w:tc>
          <w:tcPr>
            <w:tcW w:w="30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Bezpečnostná prevencia:</w:t>
            </w:r>
          </w:p>
        </w:tc>
        <w:tc>
          <w:tcPr>
            <w:tcW w:w="604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P 102 Uchovávajte mimo dosahu detí.                                    P 264 Po manipulácií starostlivo umyte ruky.                         P 280 Noste ochranné rukavice/ochranný odev/ochranné okuliare/ochranu tváre.                                                                           P273  Zabráňte uvoľneniu do životného prostredia.                              P501  Zneškodnite obsah/nádobu príslušnom miestnom systéme nakladania s odpadmi.</w:t>
            </w:r>
          </w:p>
        </w:tc>
      </w:tr>
      <w:tr>
        <w:trPr/>
        <w:tc>
          <w:tcPr>
            <w:tcW w:w="30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225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Bezpečnostné opatrenia:</w:t>
            </w:r>
          </w:p>
        </w:tc>
        <w:tc>
          <w:tcPr>
            <w:tcW w:w="604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P305 + 351 + 338 PO ZASIAHNUTÍ OČÍ: Niekoľko minút ich opatrne vyplachujte vodou.                                                    Ak používate kontaktné šošovky a je to možné, odstráňte ich. Pokračujte vo vyplachovaní.                                                            P337 + 313 Ak podráždenie očí pretrváva: Vyhľadajte lekársku pomoc/starostlivosť.</w:t>
            </w:r>
          </w:p>
        </w:tc>
      </w:tr>
    </w:tbl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Obsahuje:                                                                                                                                  EUH 208  Obsahuje methylchloroisothiazolinone a methylisothiazolinone .                       Môže vyvolať alergickú reakciu.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2.3. Iná nebezpečnosť          </w:t>
        <w:tab/>
        <w:tab/>
        <w:tab/>
        <w:t>neaplikuje sa</w:t>
      </w:r>
    </w:p>
    <w:p>
      <w:pPr>
        <w:pStyle w:val="Nadpis5"/>
        <w:widowControl/>
        <w:spacing w:lineRule="atLeast" w:line="405" w:before="0" w:after="0"/>
        <w:ind w:left="0" w:right="0" w:hanging="0"/>
        <w:jc w:val="left"/>
        <w:rPr/>
      </w:pPr>
      <w:hyperlink r:id="rId6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3: Zloženie/informácie o zložkách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3.1. Látky 3.2. Zmesi</w:t>
      </w:r>
    </w:p>
    <w:p>
      <w:pPr>
        <w:pStyle w:val="Normal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</w:r>
    </w:p>
    <w:tbl>
      <w:tblPr>
        <w:tblW w:w="8100" w:type="dxa"/>
        <w:jc w:val="left"/>
        <w:tblInd w:w="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980"/>
        <w:gridCol w:w="1629"/>
        <w:gridCol w:w="1799"/>
        <w:gridCol w:w="1799"/>
        <w:gridCol w:w="1893"/>
      </w:tblGrid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Názov zložky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etoxylované alkoholy  C12-C15 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Amides, C8-18(evennumbered) and C18-usatd.,N, N-bis (hydroxyethyl) C8-C18, C18 unsatd., alkanolamide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uhli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čitan sodný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5-chloro-2-methyl-4-iso-thiazolin-3-one a 2-methyl-2H-isothiazol-3-one (3:1)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Koncentácia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&lt; 3,5%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>&lt; 5%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>&lt;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 xml:space="preserve"> 45%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&lt; 0,0015 %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CAS číslo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106232-83-1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-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497-19-8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55965-84-9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EC číslo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931-329-6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207-838-8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247-500-7                                  220-239-6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Registračné číslo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>01-2119490100-53-xxxx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01-2119485498-19-0000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01-2120764691-48-xxxx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Výstražný symbol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            vážne poškodenie očí kat. 1                  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GHS09                                      </w:t>
            </w:r>
            <w:r>
              <w:rPr>
                <w:rFonts w:cs="Arial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sk-SK"/>
              </w:rPr>
              <w:t>akútna vodná toxicita kat.1               chronická vodná toxicita kat.3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  <w:p>
            <w:pPr>
              <w:pStyle w:val="Normal"/>
              <w:spacing w:before="0" w:after="200"/>
              <w:rPr/>
            </w:pPr>
            <w:r>
              <w:rPr/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 xml:space="preserve">vážne poškodenie očí   kat. 1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podráždenie kože, kat.2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GHS 09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szCs w:val="16"/>
                <w:u w:val="none"/>
                <w:em w:val="none"/>
              </w:rPr>
              <w:t xml:space="preserve">      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chronická vodná toxicita, kat.2    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GHS 07                                      podráždenie očí kat. 2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3"/>
                <w:u w:val="none"/>
                <w:em w:val="none"/>
              </w:rPr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GHS 05                                žieravosť pre kožu kat. 1C        vážne poškodenie očí kat.1                          GHS 09                                               akútna vodná toxicita, kat.1                </w:t>
            </w:r>
            <w:bookmarkStart w:id="2" w:name="__DdeLink__2833_4263556358"/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chronická vodná toxicita, kat.1   </w:t>
            </w:r>
            <w:bookmarkEnd w:id="2"/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                                                                                            GHS 07                              dráždivosť pre kožu kat.1        GHS 06                                         akútna toxicita kat. 2                       akútna toxicita kat. 3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Špecifický limit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Corr. 1B;H314: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C ≥ 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Irrit. 2;H315: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0,06 % ≤ C&lt; 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Eye Irrit. 2; H319: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0,06 % ≤ C &lt;0,6 %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 xml:space="preserve">Skin Sens. 1;H317: </w:t>
            </w:r>
          </w:p>
          <w:p>
            <w:pPr>
              <w:pStyle w:val="Caption3"/>
              <w:spacing w:before="0" w:after="0"/>
              <w:rPr/>
            </w:pPr>
            <w:r>
              <w:rPr>
                <w:rFonts w:cs="Arial" w:ascii="Times New Roman" w:hAnsi="Times New Roman"/>
                <w:bCs/>
                <w:i w:val="false"/>
                <w:iCs w:val="false"/>
                <w:sz w:val="16"/>
                <w:szCs w:val="16"/>
              </w:rPr>
              <w:t>C ≥0,0015 %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</w:rPr>
              <w:t>M</w:t>
            </w: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  <w:lang w:val="en-US"/>
              </w:rPr>
              <w:t>=</w:t>
            </w:r>
            <w:r>
              <w:rPr>
                <w:rFonts w:cs="Arial" w:ascii="Times New Roman" w:hAnsi="Times New Roman"/>
                <w:i w:val="false"/>
                <w:iCs w:val="false"/>
                <w:sz w:val="16"/>
                <w:szCs w:val="16"/>
              </w:rPr>
              <w:t xml:space="preserve">100                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M(chr.)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  <w:lang w:val="en-US"/>
              </w:rPr>
              <w:t>=</w:t>
            </w:r>
            <w:r>
              <w:rPr>
                <w:rFonts w:cs="Arial"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100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Výstražné slovo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pozor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nebezpečenstvo</w:t>
            </w:r>
          </w:p>
        </w:tc>
      </w:tr>
      <w:tr>
        <w:trPr/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/>
            </w:pPr>
            <w:r>
              <w:rPr/>
              <w:t>H výroky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H 318                                               H 410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H 315                                    H 318                                   H 411 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>H 319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H 301           H 330                          H 310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 xml:space="preserve">H 400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  <w:t xml:space="preserve">                       H 314          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u w:val="none"/>
                <w:em w:val="none"/>
              </w:rPr>
              <w:t xml:space="preserve">H 410                                            H 317                                                    H 318                                                                   </w:t>
            </w:r>
          </w:p>
        </w:tc>
      </w:tr>
    </w:tbl>
    <w:p>
      <w:pPr>
        <w:pStyle w:val="Normal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0"/>
          <w:szCs w:val="24"/>
          <w:u w:val="none"/>
          <w:em w:val="none"/>
        </w:rPr>
        <w:t>Plný text H-viet uvedených v tomto oddieli viď oddiel 16.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7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4: Opatrenia prvej pomoci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4.1. Opis opatrení prvej pomoci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Všeobecné pokyny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: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Dodržujte bezpečnostné pokyny uvedené na obale prípravku. Pri výskyte zdravotných ťažkostí alebo v pr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ípade neistoty navštívte lekára a poskytnite mu údaje z tejto karty bezpečnostných údajov. V žiadnom prípade nevyvolávajte zvracanie.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vdýchnutí: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Dopravte na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čerstvý vzduch.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Pri kontakte s pokožkou: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Pri vzniku podr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áždenia postihnuté miesto umyte vodou a dobre opláchnite, natrite reparačným krémom.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kontakte s očami: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Nieko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ľko minút ich opatrne vyplachujte vodou. Ak používate kontaktné šošovky a je to možné, odstráňte ich. Pokračujte vo vyplachovaní. Ak podráždenie očí pretrváva, vyhľadajte lekársku pomoc/starostlivosť.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Pri požití: </w:t>
      </w:r>
      <w:r>
        <w:rPr>
          <w:rFonts w:ascii="Times New Roman" w:hAnsi="Times New Roman"/>
          <w:b w:val="false"/>
          <w:i w:val="false"/>
          <w:iCs/>
          <w:strike w:val="false"/>
          <w:dstrike w:val="false"/>
          <w:outline w:val="false"/>
          <w:shadow w:val="false"/>
          <w:sz w:val="24"/>
          <w:u w:val="none"/>
          <w:em w:val="none"/>
        </w:rPr>
        <w:t>Vypl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áchnuť ústa čistou vodou ak je pri vedomí. Ak postihnutý vracia, treba ho uložiť do polohy na stranu, aby nedošlo k uduseniu zvratkami. Nevyvolávajte zvracanie, vyhľadajte lekársku pomoc.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4.2. Najdôležitejšie príznaky a účinky, akútne aj oneskorené                                                       </w:t>
      </w:r>
      <w:r>
        <w:rPr>
          <w:rFonts w:ascii="Times New Roman" w:hAnsi="Times New Roman"/>
          <w:b w:val="false"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single"/>
          <w:em w:val="none"/>
        </w:rPr>
        <w:t>Pri vd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ýchnutí: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 podráždenie dýchacieho traktu, kašeľ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kontakte s poko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žkou: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dočasné podráždenie kože, začervenanie, pálenie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kontakte s 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čami: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podráždenie očí, začervenanie, pálenie, slzenie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color w:val="000000"/>
          <w:sz w:val="24"/>
          <w:u w:val="single"/>
          <w:em w:val="none"/>
        </w:rPr>
        <w:t>Pri po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 xml:space="preserve">žití: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podráždenie tráviaceho traktu, hnačka, zvracanie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br/>
        <w:t xml:space="preserve">4.3. Údaj o akejkoľvek potrebe okamžitej lekárskej starostlivosti a osobitného ošetrenia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žiadne osobitn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upozornenie, pri požití nevyvolávať zvracanie, pri akýchkoľvek ťažkostiach kontaktovať lekára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8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5: Protipožiarne opatrenia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5.1. Hasiace prostriedky          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Vhodné hasiace prostriedky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: chemická pena, hasiaci prášok, voda, CO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vertAlign w:val="subscript"/>
          <w:em w:val="none"/>
        </w:rPr>
        <w:t xml:space="preserve">2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Nevhodné hasiace prostriedky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: nie sú dostupné žiadne údaje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5.2. Osobitné ohrozenia vyplývajúce z látky alebo zo zmesi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horen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vznikajú oxidy uhlíka.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5.3. Rady pre požiarnikov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ásahová skupina musí používať ochranný oblek a izolačný dýchací prístroj v uzavretom priestore.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9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6: Opatrenia pri náhodnom uvoľnení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6.1. Osobné bezpečnostné opatrenia, ochranné vybavenie a núdzové postupy                                     </w:t>
      </w:r>
      <w:r>
        <w:rPr>
          <w:rFonts w:ascii="Times New Roman" w:hAnsi="Times New Roman"/>
        </w:rPr>
        <w:t xml:space="preserve">Dodržujte </w:t>
      </w:r>
      <w:r>
        <w:rPr>
          <w:rFonts w:ascii="Times New Roman" w:hAnsi="Times New Roman"/>
          <w:sz w:val="24"/>
          <w:szCs w:val="24"/>
        </w:rPr>
        <w:t>pravidlá</w:t>
      </w:r>
      <w:r>
        <w:rPr>
          <w:rFonts w:ascii="Times New Roman" w:hAnsi="Times New Roman"/>
        </w:rPr>
        <w:t xml:space="preserve"> pracovnej hygieny. Zabezpečte dostatočné vetranie.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Použite prostriedky osobnej ochrany (ochranné rukavice a ochranný odev). Ochrana osôb je uvedená v oddiely 8.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6.2. Bezpečnostné opatrenia pre životné prostredie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Zabráňte úniku do povrchových a spodných vôd.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6.3. Metódy a materiál na zabránenie šíreniu a vyčistenie                                                         Pri úniku prostriedok zozbierajte a u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schov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ávajte vo vhodnej a uzavretej nádobe na zneškodnenie. Zriedite veľkým množstvom vody 1:100 a likvidujte v čističke odpadových vôd.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6.4. Odkaz na iné oddiely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Inform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ácie o osobných ochranných pomôckach viď v oddieli 8.                                                             Informácie o nakladaní s odpadmi viď v oddieli 13.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0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7: Zaobchádzanie a skladovanie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7.1. Bezpečnostné opatrenia na bezpečné zaobchádzanie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S prostriedkom sa zaobchádza podľa návodu na použitie, ktorý je uvedený na spotrebiteľskom obale. Dodržujte všeobecné hygienické a bezpečnostné predpisy pre ochranu osôb.           Noste vhodné ochranné pracovné prostriedky.                                                                                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ákaz jesť, piť a fajčiť.                                                                                                         Zaistiť čistú a suchú podlahu. Pozor na pošmyknutie pri znečistení podlahy, vyliaty prípravok tvorí klzký film na podlahe. Podlahu a predmety znečistené týmto prípravkom umyte vodou.</w:t>
      </w:r>
    </w:p>
    <w:p>
      <w:pPr>
        <w:pStyle w:val="Telotextu"/>
        <w:widowControl/>
        <w:spacing w:before="0" w:after="225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7.2. Podmienky na bezpečné skladovanie vrátane akejkoľvek nekompatibility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                 Skladovať v čistých, dobre uzatvorených obaloch, chránených skladovacích priestoroch proti vonkajším poveternostným vplyvom pri teplote +5 až +25 °C. Uchovávajte mimo dosahu detí. Záručná doba je 24 mesiacov od dátumu výroby.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7.3. Špecifické konečné použitie(-ia)                                                                                                   </w:t>
      </w:r>
      <w:bookmarkStart w:id="3" w:name="__DdeLink__638_1929572933"/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krémový čistiaci prípravok určený na čistenie keramických, pochrómovaných, smaltovaných a iných povrchov v domácnosti     </w:t>
      </w:r>
      <w:bookmarkEnd w:id="3"/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1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8: Kontroly expozície/osobná ochrana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8.1. Kontrolné parametre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Najvy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ššie expozičné limity chemických faktorov v pracovnom ovzduší podľa NV SR č. 355/2006 Z.z. a 300/2007 Z.z..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/>
          <w:strike w:val="false"/>
          <w:dstrike w:val="false"/>
          <w:outline w:val="false"/>
          <w:shadow w:val="false"/>
          <w:sz w:val="24"/>
          <w:u w:val="none"/>
          <w:em w:val="none"/>
        </w:rPr>
        <w:t>Hodnoty limitov expozície na pracovisku: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                                                                       uhličitan vápenatý (CAS 207-439-9)</w:t>
        <w:tab/>
        <w:t>NPEL priemerný</w:t>
        <w:tab/>
        <w:t>10 mg/m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position w:val="7"/>
          <w:sz w:val="24"/>
          <w:u w:val="none"/>
          <w:em w:val="none"/>
        </w:rPr>
        <w:t xml:space="preserve">3                                                                                     </w:t>
        <w:tab/>
        <w:t xml:space="preserve">                                                       NPEL krátkodobý         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                                                                                                   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8.2. Kontroly expozície  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Primerané technické zabezpečenie:</w:t>
      </w:r>
      <w:r>
        <w:rPr>
          <w:rFonts w:ascii="Times New Roman" w:hAnsi="Times New Roman"/>
          <w:i w:val="false"/>
          <w:i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Zaistite dostato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čnú výmenu vzduchu.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Individuálne ochranné opatrenia, ako napríklad osobné ochranné prostriedky: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Ochrana očí/tváre: zabr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ániť kontaktu s očami Ochrana kože: používať vhodný pracovný odev, obuv a rukavice odolné voči detergentom Ochrana dýchacích ciest: nie je nutná vo vetraných priestoroch Tepelná nebezpečnosť: neaplikuje sa                                                                     </w:t>
      </w:r>
      <w:r>
        <w:rPr>
          <w:rFonts w:ascii="Times New Roman" w:hAnsi="Times New Roman"/>
          <w:b w:val="false"/>
          <w:i/>
          <w:iCs/>
          <w:strike w:val="false"/>
          <w:dstrike w:val="false"/>
          <w:outline w:val="false"/>
          <w:shadow w:val="false"/>
          <w:sz w:val="24"/>
          <w:u w:val="single"/>
          <w:em w:val="none"/>
        </w:rPr>
        <w:t>Kontroly enviromentálnej expozície: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Zabráňte úniku do povrchových a spodných vôd.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2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9: Fyzikálne a chemické vlastnosti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9.1. Informácie o základných fyzikálnych a chemických vlastnostiach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Skupenstvo: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viskózna kvapalina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Farba: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šedožltá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Zápach: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citrónová vôňa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Teplota topenia/tuhnutia 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varu alebo počiatočná teplota varu a rozmedzie teploty varu: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Horľavosť: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Dolná a horná medza výbušnosti: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vzplanutia: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samovznietenia: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Teplota rozkladu: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Hodnota pH: 9,5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 – 10,0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Kinematická viskozita: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Rozpustnosť: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Rozdeľovacia konštanta (hodnota log):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Tlak pár: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Hustota a/alebo relatívna hustota: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1020-1024 kg/m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position w:val="5"/>
          <w:sz w:val="16"/>
          <w:szCs w:val="16"/>
          <w:u w:val="none"/>
          <w:em w:val="none"/>
        </w:rPr>
        <w:t>3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Relatívna hustota pár: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 </w:t>
      </w:r>
    </w:p>
    <w:p>
      <w:pPr>
        <w:pStyle w:val="Telotextu"/>
        <w:widowControl/>
        <w:spacing w:lineRule="atLeast" w:line="405" w:before="0" w:after="225"/>
        <w:ind w:left="0" w:right="0" w:hanging="0"/>
        <w:rPr/>
      </w:pP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Vlastnosti častíc: </w:t>
      </w: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údaje nie sú k dispozícíí/neaplikuje sa  </w:t>
      </w: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1"/>
          <w:szCs w:val="21"/>
          <w:u w:val="none"/>
          <w:effect w:val="none"/>
          <w:em w:val="none"/>
        </w:rPr>
        <w:t xml:space="preserve">                                                                                  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9.2. Iné informácie:</w:t>
      </w:r>
    </w:p>
    <w:p>
      <w:pPr>
        <w:pStyle w:val="Telotextu"/>
        <w:widowControl/>
        <w:spacing w:lineRule="atLeast" w:line="405" w:before="0" w:after="225"/>
        <w:ind w:left="0" w:right="0" w:hanging="0"/>
        <w:rPr/>
      </w:pP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9.2.1. Informácie týkajúce sa tried fyzikálnej nebezpečnosti :údaje nie sú k dispozícíí/neaplikuje sa                                                                                                          9.2.2. Ostatné bezpečnostné charakteristiky: údaje nie sú k dispozícíí/neaplikuje sa   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3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10: Stabilita a reaktivita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10.1. Reaktivita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skladovan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a použití podľa návodu nedochádza k rozkladu.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10.2. Chemická stabilita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skladovan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í a použití podľa návodu nedochádza k rozkladu.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10.3. Možnosť nebezpečných reakcií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Nemie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šať s inými čistiacimi prostriedkami.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10.4. Podmienky, ktorým sa treba vyhnúť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Vysok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teploty, tlak a priamy oheň.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10.5. Nekompatibilné materiály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pou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žívaní v súlade s odporučením žiadne.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10.6. Nebezpečné produkty rozkladu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Pri pou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žití v súlade so stanovenými podmienkami nedochádza k rozkladu.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4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11: Toxikologické informácie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11.1. Informácie o triedach nebezpečnosti vymedzených v nariadení (ES) č. 1272/2008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a) akútna toxicita: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Škodlivý pre vodné organizmy, s dlhodobými účinkami.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b) poleptanie kože/podráždenie kože: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Dráždi kožu.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c) vážne poškodenie očí/podráždenie očí: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Spôsobuje vážne podráždenie očí.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d) respiračná alebo kožná senzibilizácia: 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bsahuje methylchloroisothiazolinone a methylisothiazolinone, môže vyvolať alergickú reakciu.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e) mutagenita pre zárodočné bunky: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f) karcinogenita: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g) reprodukčná toxicita: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h) toxicita pre špecifický cieľový orgán (STOT) – jednorazová expozícia: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i) toxicita pre špecifický cieľový orgán (STOT) – opakovaná expozícia: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j) aspiračná nebezpečnosť: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údaje nie sú k dispozícíí/neaplikuje sa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>11.2. Informácie o inej nebezpečnosti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11.2.1. Vlastnosti endokrinných disruptorov (rozvracačov):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údaje nie sú k dispozícíí/neaplikuje sa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   </w:t>
      </w:r>
    </w:p>
    <w:p>
      <w:pPr>
        <w:pStyle w:val="Telotextu"/>
        <w:widowControl/>
        <w:spacing w:lineRule="atLeast" w:line="405" w:before="0" w:after="225"/>
        <w:ind w:left="0" w:right="0" w:hanging="0"/>
        <w:rPr/>
      </w:pP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11.2.2. Iné informácie: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údaje nie sú k dispozícíí/neaplikuje sa 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5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12: Ekologické informácie</w:t>
        </w:r>
      </w:hyperlink>
    </w:p>
    <w:tbl>
      <w:tblPr>
        <w:tblW w:w="9072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4536"/>
        <w:gridCol w:w="4535"/>
      </w:tblGrid>
      <w:tr>
        <w:trPr>
          <w:trHeight w:val="450" w:hRule="atLeast"/>
        </w:trPr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12.1. Toxicita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Škodlivý pre vodnú zložku prostredia.</w:t>
            </w:r>
          </w:p>
        </w:tc>
      </w:tr>
      <w:tr>
        <w:trPr/>
        <w:tc>
          <w:tcPr>
            <w:tcW w:w="9071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12.2. Perzistencia a degradovateľnosť                                                                              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Biologick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á odbúrateľnosť povrchovo aktívnych látok použitých v tomto prípravku je súlade s kritériami biodegradability podľa Nariadenia EP a ES č. 648/2004 o detergentoch.                Tento dokument potvrdzuje, že všetky povrchovo aktívne látky v produkte dosahujú &gt; 60% degradácie. Prahová hodnota biodegradability (podľa OECD 301) je dosiahnutá.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12.3. Bioakumulačný potenciál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11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12.4. Mobilita v pôde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12.5. Výsledky posúdenia PBT a vPvB</w:t>
            </w:r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  <w:tr>
        <w:trPr/>
        <w:tc>
          <w:tcPr>
            <w:tcW w:w="45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12.6. Vlastnosti endokrinných disruptorov (rozvracačov)</w:t>
            </w:r>
          </w:p>
          <w:p>
            <w:pPr>
              <w:pStyle w:val="Telotextu"/>
              <w:widowControl/>
              <w:spacing w:lineRule="auto" w:line="240"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12.7. Iné nepriaznivé účinky                               </w:t>
            </w:r>
            <w:bookmarkStart w:id="4" w:name="__DdeLink__840_2894685765"/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sz w:val="24"/>
                <w:szCs w:val="24"/>
                <w:u w:val="none"/>
                <w:em w:val="none"/>
              </w:rPr>
              <w:t>údaje nie sú k dispozícíí/neaplikuje sa</w:t>
            </w:r>
            <w:bookmarkEnd w:id="4"/>
          </w:p>
        </w:tc>
        <w:tc>
          <w:tcPr>
            <w:tcW w:w="45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údaje nie sú k dispozícíí/neaplikuje sa</w:t>
            </w:r>
          </w:p>
        </w:tc>
      </w:tr>
    </w:tbl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6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br/>
          <w:t>ODDIEL 13: Opatrenia pri zneškodňovaní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13.1. Metódy spracovania odpadu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Likvidácia produktu: likvidujte v súlade s miestnymi a národnými predpismi.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Likvidácia obalu: obaly bez zvyškov odovzdajte na skládky zberných surovín.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Zneškodňujte v súlade so Zákonom NR SR 79/2015 o odpadoch a o zmene a doplnení niektorých zákonov ako nebezpečný odpad v povolenom zariadení. Kód odpadu podľa prílohy č.1 k Vyhláške MŽP SR 365/2015, ktorou sa ustanovuje Katalóg odpadov 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Zákon č. 313/2016 Z.z. . Zákon o odpadoch a o zmene a doplnení niektorých zákonov.  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 xml:space="preserve">     </w:t>
      </w:r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Zabráňte úniku do povrchových a spodných vôd.</w:t>
      </w:r>
    </w:p>
    <w:p>
      <w:pPr>
        <w:pStyle w:val="Telotextu"/>
        <w:widowControl/>
        <w:spacing w:before="0" w:after="225"/>
        <w:ind w:left="0" w:right="0" w:hanging="0"/>
        <w:rPr/>
      </w:pPr>
      <w:hyperlink r:id="rId17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br/>
          <w:t>ODDIEL 14: Informácie o doprave</w:t>
        </w:r>
      </w:hyperlink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</w:rPr>
        <w:t>Nie je nebezpe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čným tovarom v zmysle ADR/RID, IMDG a ICAO/IATA</w:t>
      </w:r>
    </w:p>
    <w:tbl>
      <w:tblPr>
        <w:tblW w:w="9072" w:type="dxa"/>
        <w:jc w:val="left"/>
        <w:tblInd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insideH w:val="single" w:sz="2" w:space="0" w:color="FFFFFF"/>
        </w:tblBorders>
        <w:tblCellMar>
          <w:top w:w="55" w:type="dxa"/>
          <w:left w:w="40" w:type="dxa"/>
          <w:bottom w:w="55" w:type="dxa"/>
          <w:right w:w="55" w:type="dxa"/>
        </w:tblCellMar>
      </w:tblPr>
      <w:tblGrid>
        <w:gridCol w:w="5399"/>
        <w:gridCol w:w="3672"/>
      </w:tblGrid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54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14.1. Číslo OSN alebo identifikačné číslo 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4.2. Správne expedičné označenie OSN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4.3. Trieda(-y) nebezpečnosti pre dopravu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4.4. Obalová skupina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4.5. Nebezpečnosť pre životné prostredie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68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14.6. Osobitné bezpečnostné opatrenia pre užívateľa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  <w:tr>
        <w:trPr/>
        <w:tc>
          <w:tcPr>
            <w:tcW w:w="539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insideH w:val="single" w:sz="2" w:space="0" w:color="FFFFFF"/>
            </w:tcBorders>
            <w:shd w:fill="auto" w:val="clear"/>
          </w:tcPr>
          <w:p>
            <w:pPr>
              <w:pStyle w:val="Telotextu"/>
              <w:widowControl/>
              <w:spacing w:before="0" w:after="111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14.7. Námorná preprava hromadného nákladu podľa nástrojov IMO </w:t>
            </w:r>
          </w:p>
        </w:tc>
        <w:tc>
          <w:tcPr>
            <w:tcW w:w="367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  <w:insideH w:val="single" w:sz="2" w:space="0" w:color="FFFFFF"/>
              <w:insideV w:val="single" w:sz="2" w:space="0" w:color="FFFFFF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neaplikuje sa</w:t>
            </w:r>
          </w:p>
        </w:tc>
      </w:tr>
    </w:tbl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8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15: Regulačné informácie</w:t>
        </w:r>
      </w:hyperlink>
    </w:p>
    <w:p>
      <w:pPr>
        <w:pStyle w:val="Telotextu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15.1. Nariadenia/právne predpisy špecifické pre látku alebo zmes v oblasti bezpečnosti, zdravia a životného prostredia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Z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ákon č. 67/2010 Z. z. o podmienkach uvedenia  chemických látok  a chemických zmesí na trh a o zmene a doplnení niektorých zákonov (chemický zákon).                                            Zákon č. 313/2016 Z.z. . Zákon o odpadoch a o zmene a doplnení niektorých zákonov.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                                    Nariadenie vlády SR č. 355/2006 Z.z. SR, o ochrane zdravia zamestnancov pred rizikami súvisiacimi s expozíciou chemickým faktorom pri práci v znení Nariadenia vlády SR č. 471/2011 Z.z. a súvisiacich predpisov.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 xml:space="preserve">Nariadenie Európskeho parlamentu a Rady (ES) č. 1272/2008 o klasifikácií, označovaní balení látok a zmesí.                                                                                                                                      Nariadenie Európskeho parlamentu a Rady (ES) č. 1907/2006 o registrácií, hodnotení a autorizácií a obmedzovaní chemických látok (REACH) a o zriadení Európskej chemickej agentúry.                                                                                                                          Nariadenie EP a Rady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 xml:space="preserve">č. 1272/2008 (CLP) o klasifikácii, označovaní a balení látok a zmesí, o zmene, doplnení a zrušení smerníc 67/548/EHS a 1999/45/ES a o zmene a doplnení nariadenia (ES) č. 1907/2006.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Nariadenie EP a Rady (ES) č. 648/2004 o detergentoch v znení neskorších predpisov.</w:t>
      </w:r>
    </w:p>
    <w:p>
      <w:pPr>
        <w:pStyle w:val="Normal"/>
        <w:widowControl/>
        <w:spacing w:before="0" w:after="225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br/>
        <w:t>15.2. Hodnotenie chemickej bezpečnosti</w:t>
        <w:tab/>
        <w:tab/>
        <w:tab/>
        <w:tab/>
        <w:t>neaplikuje sa</w:t>
      </w:r>
    </w:p>
    <w:p>
      <w:pPr>
        <w:pStyle w:val="Nadpis5"/>
        <w:widowControl/>
        <w:spacing w:lineRule="atLeast" w:line="405" w:before="0" w:after="0"/>
        <w:ind w:left="0" w:right="0" w:hanging="0"/>
        <w:rPr/>
      </w:pPr>
      <w:hyperlink r:id="rId19">
        <w:r>
          <w:rPr>
            <w:rStyle w:val="Silnzvraznenie"/>
            <w:rFonts w:ascii="Times New Roman" w:hAnsi="Times New Roman"/>
            <w:b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24"/>
            <w:szCs w:val="24"/>
            <w:u w:val="none"/>
            <w:effect w:val="none"/>
          </w:rPr>
          <w:t>ODDIEL 16: Iné informácie</w:t>
        </w:r>
      </w:hyperlink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Dôvod revízie :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01.06.2018 -  Doplnené registračné čísla zložiek do bodu 3.                                                                                                          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effect w:val="none"/>
        </w:rPr>
        <w:t xml:space="preserve">11.12.2020 </w:t>
      </w:r>
      <w:r>
        <w:rPr>
          <w:rFonts w:ascii="Times New Roman" w:hAnsi="Times New Roman"/>
          <w:sz w:val="24"/>
          <w:szCs w:val="24"/>
        </w:rPr>
        <w:t xml:space="preserve">-  Revízia a úprava klasifikácie zložiek v bode 3.                                                               </w:t>
      </w:r>
      <w:bookmarkStart w:id="5" w:name="__DdeLink__624_2446651544"/>
      <w:r>
        <w:rPr>
          <w:rFonts w:ascii="Times New Roman" w:hAnsi="Times New Roman"/>
          <w:sz w:val="24"/>
          <w:szCs w:val="24"/>
        </w:rPr>
        <w:t>31.12.2022 – Revízia a úprava oddielov 9, 11, 12, 14</w:t>
      </w:r>
      <w:bookmarkEnd w:id="5"/>
      <w:r>
        <w:rPr>
          <w:rFonts w:ascii="Times New Roman" w:hAnsi="Times New Roman"/>
          <w:sz w:val="24"/>
          <w:szCs w:val="24"/>
        </w:rPr>
        <w:t xml:space="preserve">                                                   31.12.2024 – Doplnený UFI kód        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Pln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é znenie H - viet z bodu 3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</w:rPr>
        <w:t xml:space="preserve">H301   Toxický po požití.                                                                                                                              H310   Smrteľný pri kontakte s pokožkou.                                                                                               </w:t>
      </w: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H314   Spôsobuje vážne poleptanie kože a poškodenie očí.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H330   Smrteľný pri vdýchnutí.                                                                                                  H315   Dráždi kožu.                                                                                                                                    H317   </w:t>
      </w: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Môže vyvolať alergickú kožnú reakciu.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H318   Spôsobuje vážne poškodenie očí.                                                                                                 H319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Sp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ôsobuje vážne podráždenie očí.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Style w:val="Silnzvraznenie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>H400   Ve</w:t>
      </w:r>
      <w:r>
        <w:rPr>
          <w:rStyle w:val="Silnzvraznenie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ffect w:val="none"/>
          <w:em w:val="none"/>
        </w:rPr>
        <w:t xml:space="preserve">ľmi toxický pre vodné organizmy.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H410   Veľmi toxický pre vodné organizmy, s dlhodobými účinkami.                                                                                                                                                                                                                                             H411 </w:t>
      </w:r>
      <w:bookmarkStart w:id="6" w:name="__DdeLink__3501_2745286859"/>
      <w:r>
        <w:rPr>
          <w:rFonts w:ascii="Times New Roman" w:hAnsi="Times New Roman"/>
          <w:sz w:val="24"/>
          <w:szCs w:val="24"/>
        </w:rPr>
        <w:t xml:space="preserve"> Toxický pre vodné organizmy, s dlhodobými účinkami.  </w:t>
      </w:r>
      <w:bookmarkEnd w:id="6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Test akútnej orálnej toxicity bol stanovený metodikou 401 OECD.                                                          Test primárnej kožnej dráždivosti bol stanovený metodikou 404 OECD.</w:t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Údaje uvedené v tejto karte bezpečnostných údajov odpovedajú súčasnému stavu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vedomosti a skúsenosti a sú v súlade s platnými právnymi predpismi.                                                           V prípade použitia prípravku iným spôsobom ako je doporučované v tejto karte bezpečnostných údajov, výrobca ani dodávateľ nezodpovedá za prípadnú vzniknutú škodu.</w:t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</w:r>
    </w:p>
    <w:p>
      <w:pPr>
        <w:pStyle w:val="Normal"/>
        <w:spacing w:before="0" w:after="200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0"/>
      <w:footerReference w:type="default" r:id="rId21"/>
      <w:type w:val="nextPage"/>
      <w:pgSz w:w="11906" w:h="16838"/>
      <w:pgMar w:left="1417" w:right="1417" w:header="1417" w:top="1969" w:footer="1417" w:bottom="196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spacing w:before="0" w:after="20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10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spacing w:before="0" w:after="200"/>
      <w:jc w:val="center"/>
      <w:rPr/>
    </w:pPr>
    <w:r>
      <w:rPr/>
      <w:t>KBÚ  Cipro</w:t>
    </w:r>
    <w:r>
      <w:rPr>
        <w:rFonts w:ascii="Times New Roman" w:hAnsi="Times New Roman"/>
        <w:b/>
        <w:bCs/>
        <w:i w:val="false"/>
        <w:caps w:val="false"/>
        <w:smallCaps w:val="false"/>
        <w:strike w:val="false"/>
        <w:dstrike w:val="false"/>
        <w:outline w:val="false"/>
        <w:shadow w:val="false"/>
        <w:color w:val="000000"/>
        <w:spacing w:val="0"/>
        <w:position w:val="6"/>
        <w:sz w:val="22"/>
        <w:szCs w:val="22"/>
        <w:u w:val="none"/>
        <w:em w:val="none"/>
      </w:rPr>
      <w:t>®</w:t>
    </w:r>
    <w:r>
      <w:rPr>
        <w:rFonts w:ascii="Times New Roman" w:hAnsi="Times New Roman"/>
        <w:b/>
        <w:bCs/>
        <w:i w:val="false"/>
        <w:caps w:val="false"/>
        <w:smallCaps w:val="false"/>
        <w:strike w:val="false"/>
        <w:dstrike w:val="false"/>
        <w:outline w:val="false"/>
        <w:shadow w:val="false"/>
        <w:color w:val="000000"/>
        <w:spacing w:val="0"/>
        <w:position w:val="8"/>
        <w:sz w:val="28"/>
        <w:szCs w:val="28"/>
        <w:u w:val="none"/>
        <w:em w:val="none"/>
      </w:rPr>
      <w:t xml:space="preserve"> </w:t>
    </w:r>
    <w:r>
      <w:rPr/>
      <w:t xml:space="preserve"> cream citrón</w:t>
    </w:r>
  </w:p>
</w:hdr>
</file>

<file path=word/settings.xml><?xml version="1.0" encoding="utf-8"?>
<w:settings xmlns:w="http://schemas.openxmlformats.org/wordprocessingml/2006/main">
  <w:zoom w:percent="100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e57d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5">
    <w:name w:val="Heading 5"/>
    <w:basedOn w:val="Nadpis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ilnzvraznenie">
    <w:name w:val="Silné zvýraznenie"/>
    <w:qFormat/>
    <w:rPr>
      <w:b/>
      <w:bCs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">
    <w:name w:val="ListLabel 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">
    <w:name w:val="ListLabel 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5">
    <w:name w:val="ListLabel 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6">
    <w:name w:val="ListLabel 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7">
    <w:name w:val="ListLabel 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8">
    <w:name w:val="ListLabel 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9">
    <w:name w:val="ListLabel 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0">
    <w:name w:val="ListLabel 1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1">
    <w:name w:val="ListLabel 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2">
    <w:name w:val="ListLabel 1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3">
    <w:name w:val="ListLabel 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4">
    <w:name w:val="ListLabel 1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5">
    <w:name w:val="ListLabel 1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6">
    <w:name w:val="ListLabel 1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7">
    <w:name w:val="ListLabel 1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18">
    <w:name w:val="ListLabel 1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19">
    <w:name w:val="ListLabel 1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0">
    <w:name w:val="ListLabel 2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1">
    <w:name w:val="ListLabel 2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2">
    <w:name w:val="ListLabel 2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3">
    <w:name w:val="ListLabel 2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4">
    <w:name w:val="ListLabel 2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5">
    <w:name w:val="ListLabel 2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6">
    <w:name w:val="ListLabel 2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7">
    <w:name w:val="ListLabel 2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28">
    <w:name w:val="ListLabel 2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29">
    <w:name w:val="ListLabel 2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0">
    <w:name w:val="ListLabel 3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1">
    <w:name w:val="ListLabel 3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2">
    <w:name w:val="ListLabel 3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3">
    <w:name w:val="ListLabel 3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4">
    <w:name w:val="ListLabel 3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5">
    <w:name w:val="ListLabel 3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6">
    <w:name w:val="ListLabel 3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7">
    <w:name w:val="ListLabel 3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38">
    <w:name w:val="ListLabel 3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39">
    <w:name w:val="ListLabel 3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0">
    <w:name w:val="ListLabel 4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41">
    <w:name w:val="ListLabel 4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2">
    <w:name w:val="ListLabel 42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43">
    <w:name w:val="ListLabel 4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4">
    <w:name w:val="ListLabel 44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45">
    <w:name w:val="ListLabel 45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6">
    <w:name w:val="ListLabel 46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47">
    <w:name w:val="ListLabel 4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48">
    <w:name w:val="ListLabel 48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character" w:styleId="ListLabel49">
    <w:name w:val="ListLabel 4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auto"/>
      <w:spacing w:val="0"/>
      <w:sz w:val="24"/>
      <w:szCs w:val="24"/>
      <w:u w:val="none"/>
      <w:effect w:val="none"/>
    </w:rPr>
  </w:style>
  <w:style w:type="character" w:styleId="ListLabel50">
    <w:name w:val="ListLabel 50"/>
    <w:qFormat/>
    <w:rPr>
      <w:rFonts w:ascii="Times New Roman" w:hAnsi="Times New Roman"/>
      <w:b w:val="false"/>
      <w:i w:val="false"/>
      <w:caps w:val="false"/>
      <w:smallCaps w:val="false"/>
      <w:color w:val="auto"/>
      <w:spacing w:val="0"/>
      <w:sz w:val="24"/>
      <w:szCs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50db4"/>
    <w:pPr>
      <w:spacing w:before="0" w:after="200"/>
      <w:ind w:left="720" w:hanging="0"/>
      <w:contextualSpacing/>
    </w:pPr>
    <w:rPr/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paragraph" w:styleId="Hlavika">
    <w:name w:val="Header"/>
    <w:basedOn w:val="Normal"/>
    <w:pPr>
      <w:suppressLineNumbers/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pPr>
      <w:suppressLineNumbers/>
      <w:tabs>
        <w:tab w:val="center" w:pos="4536" w:leader="none"/>
        <w:tab w:val="right" w:pos="9072" w:leader="none"/>
      </w:tabs>
    </w:pPr>
    <w:rPr/>
  </w:style>
  <w:style w:type="paragraph" w:styleId="Caption2">
    <w:name w:val="Caption2"/>
    <w:basedOn w:val="Normal"/>
    <w:next w:val="Normal"/>
    <w:qFormat/>
    <w:pPr>
      <w:spacing w:before="20" w:after="20"/>
    </w:pPr>
    <w:rPr>
      <w:b/>
    </w:rPr>
  </w:style>
  <w:style w:type="paragraph" w:styleId="Caption3">
    <w:name w:val="Caption3"/>
    <w:basedOn w:val="Caption2"/>
    <w:qFormat/>
    <w:pPr/>
    <w:rPr>
      <w:b w:val="fals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kotoxcenters.eu/karta-bezpecnostnych-udajov/format-karty-bezpecnostnych-udajov/oddiel-1/" TargetMode="External"/><Relationship Id="rId3" Type="http://schemas.openxmlformats.org/officeDocument/2006/relationships/hyperlink" Target="http://www.perfe.sk/" TargetMode="External"/><Relationship Id="rId4" Type="http://schemas.openxmlformats.org/officeDocument/2006/relationships/hyperlink" Target="https://ekotoxcenters.eu/karta-bezpecnostnych-udajov/format-karty-bezpecnostnych-udajov/oddiel-2/" TargetMode="External"/><Relationship Id="rId5" Type="http://schemas.openxmlformats.org/officeDocument/2006/relationships/image" Target="media/image1.jpeg"/><Relationship Id="rId6" Type="http://schemas.openxmlformats.org/officeDocument/2006/relationships/hyperlink" Target="https://ekotoxcenters.eu/karta-bezpecnostnych-udajov/format-karty-bezpecnostnych-udajov/oddiel-3/" TargetMode="External"/><Relationship Id="rId7" Type="http://schemas.openxmlformats.org/officeDocument/2006/relationships/hyperlink" Target="https://ekotoxcenters.eu/karta-bezpecnostnych-udajov/format-karty-bezpecnostnych-udajov/oddiel-4/" TargetMode="External"/><Relationship Id="rId8" Type="http://schemas.openxmlformats.org/officeDocument/2006/relationships/hyperlink" Target="https://ekotoxcenters.eu/karta-bezpecnostnych-udajov/format-karty-bezpecnostnych-udajov/oddiel-5/" TargetMode="External"/><Relationship Id="rId9" Type="http://schemas.openxmlformats.org/officeDocument/2006/relationships/hyperlink" Target="https://ekotoxcenters.eu/karta-bezpecnostnych-udajov/format-karty-bezpecnostnych-udajov/oddiel-6/" TargetMode="External"/><Relationship Id="rId10" Type="http://schemas.openxmlformats.org/officeDocument/2006/relationships/hyperlink" Target="https://ekotoxcenters.eu/karta-bezpecnostnych-udajov/format-karty-bezpecnostnych-udajov/oddiel-7/" TargetMode="External"/><Relationship Id="rId11" Type="http://schemas.openxmlformats.org/officeDocument/2006/relationships/hyperlink" Target="https://ekotoxcenters.eu/karta-bezpecnostnych-udajov/format-karty-bezpecnostnych-udajov/oddiel-8/" TargetMode="External"/><Relationship Id="rId12" Type="http://schemas.openxmlformats.org/officeDocument/2006/relationships/hyperlink" Target="https://ekotoxcenters.eu/karta-bezpecnostnych-udajov/format-karty-bezpecnostnych-udajov/oddiel-9/" TargetMode="External"/><Relationship Id="rId13" Type="http://schemas.openxmlformats.org/officeDocument/2006/relationships/hyperlink" Target="https://ekotoxcenters.eu/karta-bezpecnostnych-udajov/format-karty-bezpecnostnych-udajov/oddiel-10/" TargetMode="External"/><Relationship Id="rId14" Type="http://schemas.openxmlformats.org/officeDocument/2006/relationships/hyperlink" Target="https://ekotoxcenters.eu/karta-bezpecnostnych-udajov/format-karty-bezpecnostnych-udajov/oddiel-11/" TargetMode="External"/><Relationship Id="rId15" Type="http://schemas.openxmlformats.org/officeDocument/2006/relationships/hyperlink" Target="https://ekotoxcenters.eu/karta-bezpecnostnych-udajov/format-karty-bezpecnostnych-udajov/oddiel-12/" TargetMode="External"/><Relationship Id="rId16" Type="http://schemas.openxmlformats.org/officeDocument/2006/relationships/hyperlink" Target="https://ekotoxcenters.eu/karta-bezpecnostnych-udajov/format-karty-bezpecnostnych-udajov/oddiel-13/" TargetMode="External"/><Relationship Id="rId17" Type="http://schemas.openxmlformats.org/officeDocument/2006/relationships/hyperlink" Target="https://ekotoxcenters.eu/karta-bezpecnostnych-udajov/format-karty-bezpecnostnych-udajov/oddiel-14/" TargetMode="External"/><Relationship Id="rId18" Type="http://schemas.openxmlformats.org/officeDocument/2006/relationships/hyperlink" Target="https://ekotoxcenters.eu/karta-bezpecnostnych-udajov/format-karty-bezpecnostnych-udajov/oddiel-15/" TargetMode="External"/><Relationship Id="rId19" Type="http://schemas.openxmlformats.org/officeDocument/2006/relationships/hyperlink" Target="https://ekotoxcenters.eu/karta-bezpecnostnych-udajov/format-karty-bezpecnostnych-udajov/oddiel-16/" TargetMode="External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Application>LibreOffice/6.0.5.2$Windows_x86 LibreOffice_project/54c8cbb85f300ac59db32fe8a675ff7683cd5a16</Application>
  <Pages>10</Pages>
  <Words>2125</Words>
  <Characters>13272</Characters>
  <CharactersWithSpaces>23692</CharactersWithSpaces>
  <Paragraphs>188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2017-04-26T04:57:00Z</dcterms:created>
  <dc:creator>PERFEKT</dc:creator>
  <dc:description/>
  <dc:language>en-US</dc:language>
  <cp:lastModifiedBy/>
  <cp:lastPrinted>2019-03-05T13:10:56Z</cp:lastPrinted>
  <dcterms:modified xsi:type="dcterms:W3CDTF">2024-12-10T14:57:41Z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