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adpis5"/>
        <w:spacing w:before="120" w:after="60"/>
        <w:jc w:val="center"/>
        <w:rPr/>
      </w:pPr>
      <w:r>
        <w:rPr>
          <w:rStyle w:val="Silnzvraznenie"/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auto"/>
          <w:spacing w:val="0"/>
          <w:sz w:val="28"/>
          <w:szCs w:val="28"/>
          <w:u w:val="none"/>
          <w:effect w:val="none"/>
        </w:rPr>
        <w:t xml:space="preserve">KARTA BEZPEČNOSTNÝCH ÚDAJOV                                                  </w:t>
      </w:r>
      <w:r>
        <w:rPr>
          <w:rStyle w:val="Silnzvraznenie"/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  <w:t xml:space="preserve">NARIADENIE KOMISIE (EÚ) 2020/878 z 18. júna 2020,                             </w:t>
      </w:r>
    </w:p>
    <w:p>
      <w:pPr>
        <w:pStyle w:val="Nadpis5"/>
        <w:spacing w:before="120" w:after="60"/>
        <w:jc w:val="center"/>
        <w:rPr/>
      </w:pPr>
      <w:r>
        <w:rPr>
          <w:rStyle w:val="Silnzvraznenie"/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  <w:t xml:space="preserve"> </w:t>
      </w:r>
      <w:r>
        <w:rPr>
          <w:rStyle w:val="Silnzvraznenie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  <w:t xml:space="preserve">ktorým sa mení príloha II k nariadeniu Európskeho parlamentu a Rady (ES) č. 1907/2006      o registrácii, hodnotení, autorizácii a obmedzovaní chemikálií (REACH) </w:t>
      </w:r>
    </w:p>
    <w:p>
      <w:pPr>
        <w:pStyle w:val="Telotextu"/>
        <w:jc w:val="left"/>
        <w:rPr>
          <w:rStyle w:val="Silnzvraznenie"/>
          <w:rFonts w:ascii="Times New Roman" w:hAnsi="Times New Roman"/>
          <w:b/>
          <w:b/>
          <w:i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</w:pPr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</w:r>
    </w:p>
    <w:p>
      <w:pPr>
        <w:pStyle w:val="Telotextu"/>
        <w:jc w:val="left"/>
        <w:rPr/>
      </w:pPr>
      <w:r>
        <w:rPr>
          <w:rStyle w:val="Silnzvraznenie"/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  <w:t xml:space="preserve">Dátum vydania:        </w:t>
      </w:r>
      <w:r>
        <w:rPr>
          <w:rStyle w:val="Silnzvraznenie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  <w:t xml:space="preserve">30.11.2012 </w:t>
      </w:r>
      <w:r>
        <w:rPr>
          <w:rStyle w:val="Silnzvraznenie"/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  <w:t xml:space="preserve">                                                               Počet strán: 10                                   Dátum revízie 1:       </w:t>
      </w:r>
      <w:r>
        <w:rPr>
          <w:rStyle w:val="Silnzvraznenie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  <w:t xml:space="preserve">01.06.2018      </w:t>
      </w:r>
      <w:r>
        <w:rPr>
          <w:rStyle w:val="Silnzvraznenie"/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  <w:t xml:space="preserve">                                                                                              Dátum revízie 2:</w:t>
        <w:tab/>
        <w:tab/>
      </w:r>
      <w:r>
        <w:rPr>
          <w:rStyle w:val="Silnzvraznenie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  <w:t xml:space="preserve"> 23.11.2020                                                                                                    </w:t>
      </w:r>
      <w:r>
        <w:rPr>
          <w:rStyle w:val="Silnzvraznenie"/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  <w:t>Dátum revízie 3:</w:t>
        <w:tab/>
        <w:tab/>
        <w:t xml:space="preserve"> </w:t>
      </w:r>
      <w:r>
        <w:rPr>
          <w:rStyle w:val="Silnzvraznenie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  <w:t xml:space="preserve">31.12.2022                                                                                       </w:t>
      </w:r>
      <w:r>
        <w:rPr>
          <w:rStyle w:val="Silnzvraznenie"/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  <w:t>Dátum revízie 4:</w:t>
        <w:tab/>
        <w:tab/>
        <w:t xml:space="preserve"> </w:t>
      </w:r>
      <w:r>
        <w:rPr>
          <w:rStyle w:val="Silnzvraznenie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  <w:t>31.12.2024</w:t>
      </w:r>
    </w:p>
    <w:p>
      <w:pPr>
        <w:pStyle w:val="Telotextu"/>
        <w:jc w:val="left"/>
        <w:rPr>
          <w:rStyle w:val="Silnzvraznenie"/>
          <w:rFonts w:ascii="Times New Roman" w:hAnsi="Times New Roman"/>
          <w:b w:val="false"/>
          <w:b w:val="false"/>
          <w:bCs w:val="false"/>
          <w:i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</w:r>
    </w:p>
    <w:p>
      <w:pPr>
        <w:pStyle w:val="Nadpis5"/>
        <w:rPr/>
      </w:pPr>
      <w:hyperlink r:id="rId2">
        <w:r>
          <w:rPr>
            <w:rStyle w:val="Silnzvraznenie"/>
            <w:rFonts w:ascii="Times New Roman" w:hAnsi="Times New Roman"/>
            <w:b/>
            <w:i w:val="false"/>
            <w:caps w:val="false"/>
            <w:smallCaps w:val="false"/>
            <w:strike w:val="false"/>
            <w:dstrike w:val="false"/>
            <w:color w:val="auto"/>
            <w:spacing w:val="0"/>
            <w:sz w:val="24"/>
            <w:szCs w:val="24"/>
            <w:u w:val="none"/>
            <w:effect w:val="none"/>
          </w:rPr>
          <w:t>ODDIEL 1: Identifikácia látky/zmesi a spoločnosti/podniku</w:t>
        </w:r>
      </w:hyperlink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1.1. Identifikátor produktu: Obchodný názov výrobku: </w:t>
      </w:r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8"/>
          <w:szCs w:val="28"/>
          <w:u w:val="none"/>
          <w:em w:val="none"/>
        </w:rPr>
        <w:t>PEDANT 10 PROFESIONÁL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UFI kód: GQ00-20EN-000U-4WWG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1.2. Relevantné identifikované použitia látky alebo zmesi a použitia, ktoré sa neodporúčajú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Použitie látky/zmesi: saponátový univerzálny prostriedok pri upratovaní                                                     Odporúčané obmedzenia z hľadiska používania: údaje nie sú k dispozícií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1.3. Údaje o dodávateľovi karty bezpečnostných údajov                                                        Výrobca: PERFEKT – SH s.r.o., Hliníková 45, 952 01, Vráble                                                                         tel: 037/7833773, 037/7834841, fax: 037/7833773, </w:t>
      </w:r>
      <w:hyperlink r:id="rId3">
        <w:r>
          <w:rPr>
            <w:rStyle w:val="Internetovodkaz"/>
            <w:rFonts w:ascii="Times New Roman" w:hAnsi="Times New Roman"/>
            <w:b w:val="false"/>
            <w:i w:val="false"/>
            <w:caps w:val="false"/>
            <w:smallCaps w:val="false"/>
            <w:color w:val="auto"/>
            <w:spacing w:val="0"/>
            <w:sz w:val="24"/>
            <w:szCs w:val="24"/>
          </w:rPr>
          <w:t>www.perfe.sk</w:t>
        </w:r>
      </w:hyperlink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, perfe@perfe.sk                                                                                                </w:t>
        <w:br/>
        <w:t xml:space="preserve">1.4. Núdzové telefónne číslo                                                                                                                Národné toxikologické informačné centrum, Limbová 5, 833 05 Bratislava                           tel: + 421 2 5477 4166, mobil: +421 911 166 066,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</w:rPr>
        <w:t xml:space="preserve"> fax 02/54774605</w:t>
      </w:r>
    </w:p>
    <w:p>
      <w:pPr>
        <w:pStyle w:val="Nadpis5"/>
        <w:widowControl/>
        <w:spacing w:lineRule="atLeast" w:line="405" w:before="0" w:after="0"/>
        <w:ind w:left="0" w:right="0" w:hanging="0"/>
        <w:rPr/>
      </w:pPr>
      <w:hyperlink r:id="rId4">
        <w:r>
          <w:rPr>
            <w:rStyle w:val="Silnzvraznenie"/>
            <w:rFonts w:ascii="Times New Roman" w:hAnsi="Times New Roman"/>
            <w:b/>
            <w:i w:val="false"/>
            <w:caps w:val="false"/>
            <w:smallCaps w:val="false"/>
            <w:strike w:val="false"/>
            <w:dstrike w:val="false"/>
            <w:color w:val="auto"/>
            <w:spacing w:val="0"/>
            <w:sz w:val="24"/>
            <w:szCs w:val="24"/>
            <w:u w:val="none"/>
            <w:effect w:val="none"/>
          </w:rPr>
          <w:t>ODDIEL 2: Identifikácia nebezpečnosti</w:t>
        </w:r>
      </w:hyperlink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>2.1. Klasifikácia látky alebo zmesi</w:t>
      </w:r>
    </w:p>
    <w:p>
      <w:pPr>
        <w:pStyle w:val="Telotextu"/>
        <w:widowControl/>
        <w:spacing w:before="0" w:after="225"/>
        <w:ind w:left="0" w:right="0" w:hanging="0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auto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Klasifikácia podľa Nariadenia (ES) č. 1272/2008 CLP.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>2.2. Prvky označovania</w:t>
      </w:r>
    </w:p>
    <w:p>
      <w:pPr>
        <w:pStyle w:val="Normal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V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ážne podráždenie očí, kategória 2</w:t>
        <w:tab/>
        <w:tab/>
        <w:tab/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Sp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 xml:space="preserve">ôsobuje vážne podráždenie očí.                        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Podráždenie kože, kat. 2                              Dráždi kožu.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>2.2. Prvky označovania</w:t>
      </w:r>
    </w:p>
    <w:tbl>
      <w:tblPr>
        <w:tblW w:w="9090" w:type="dxa"/>
        <w:jc w:val="left"/>
        <w:tblInd w:w="0" w:type="dxa"/>
        <w:tblBorders>
          <w:top w:val="single" w:sz="2" w:space="0" w:color="FFFFFF"/>
          <w:left w:val="single" w:sz="2" w:space="0" w:color="FFFFFF"/>
          <w:bottom w:val="single" w:sz="2" w:space="0" w:color="FFFFFF"/>
          <w:insideH w:val="single" w:sz="2" w:space="0" w:color="FFFFFF"/>
        </w:tblBorders>
        <w:tblCellMar>
          <w:top w:w="55" w:type="dxa"/>
          <w:left w:w="40" w:type="dxa"/>
          <w:bottom w:w="55" w:type="dxa"/>
          <w:right w:w="55" w:type="dxa"/>
        </w:tblCellMar>
      </w:tblPr>
      <w:tblGrid>
        <w:gridCol w:w="3022"/>
        <w:gridCol w:w="6067"/>
      </w:tblGrid>
      <w:tr>
        <w:trPr/>
        <w:tc>
          <w:tcPr>
            <w:tcW w:w="302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insideH w:val="single" w:sz="2" w:space="0" w:color="FFFFFF"/>
            </w:tcBorders>
            <w:shd w:fill="auto" w:val="clear"/>
          </w:tcPr>
          <w:p>
            <w:pPr>
              <w:pStyle w:val="Telotextu"/>
              <w:widowControl/>
              <w:spacing w:before="0" w:after="225"/>
              <w:ind w:left="0" w:right="0" w:hanging="0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auto"/>
                <w:spacing w:val="0"/>
                <w:sz w:val="24"/>
                <w:szCs w:val="24"/>
                <w:u w:val="none"/>
                <w:em w:val="none"/>
              </w:rPr>
              <w:t>Symbol nebezpe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u w:val="none"/>
                <w:em w:val="none"/>
              </w:rPr>
              <w:t xml:space="preserve">čenstva:  </w:t>
            </w:r>
          </w:p>
          <w:p>
            <w:pPr>
              <w:pStyle w:val="Telotextu"/>
              <w:widowControl/>
              <w:spacing w:before="0" w:after="225"/>
              <w:ind w:left="0" w:right="0" w:hanging="0"/>
              <w:rPr>
                <w:rFonts w:ascii="Times New Roman" w:hAnsi="Times New Roman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4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u w:val="none"/>
                <w:em w:val="none"/>
              </w:rPr>
            </w:r>
          </w:p>
        </w:tc>
        <w:tc>
          <w:tcPr>
            <w:tcW w:w="606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  <w:insideH w:val="single" w:sz="2" w:space="0" w:color="FFFFFF"/>
              <w:insideV w:val="single" w:sz="2" w:space="0" w:color="FFFFFF"/>
            </w:tcBorders>
            <w:shd w:fill="auto" w:val="clear"/>
          </w:tcPr>
          <w:p>
            <w:pPr>
              <w:pStyle w:val="Obsahtabuky"/>
              <w:spacing w:before="0" w:after="200"/>
              <w:rPr/>
            </w:pPr>
            <w: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1618615</wp:posOffset>
                  </wp:positionH>
                  <wp:positionV relativeFrom="paragraph">
                    <wp:posOffset>635</wp:posOffset>
                  </wp:positionV>
                  <wp:extent cx="762000" cy="581660"/>
                  <wp:effectExtent l="0" t="0" r="0" b="0"/>
                  <wp:wrapSquare wrapText="largest"/>
                  <wp:docPr id="1" name="Obrázok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ázok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581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 w:val="24"/>
                <w:szCs w:val="24"/>
              </w:rPr>
              <w:t>G</w:t>
            </w:r>
            <w:r>
              <w:rPr>
                <w:rFonts w:ascii="Times New Roman" w:hAnsi="Times New Roman"/>
                <w:sz w:val="24"/>
                <w:szCs w:val="24"/>
              </w:rPr>
              <w:t>HS 07</w:t>
            </w:r>
          </w:p>
        </w:tc>
      </w:tr>
      <w:tr>
        <w:trPr/>
        <w:tc>
          <w:tcPr>
            <w:tcW w:w="302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insideH w:val="single" w:sz="2" w:space="0" w:color="FFFFFF"/>
            </w:tcBorders>
            <w:shd w:fill="auto" w:val="clear"/>
          </w:tcPr>
          <w:p>
            <w:pPr>
              <w:pStyle w:val="Telotextu"/>
              <w:widowControl/>
              <w:spacing w:before="0" w:after="225"/>
              <w:ind w:left="0" w:right="0" w:hanging="0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u w:val="none"/>
                <w:em w:val="none"/>
              </w:rPr>
              <w:t xml:space="preserve">Výstražné slovo:     </w:t>
            </w:r>
          </w:p>
        </w:tc>
        <w:tc>
          <w:tcPr>
            <w:tcW w:w="606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  <w:insideH w:val="single" w:sz="2" w:space="0" w:color="FFFFFF"/>
              <w:insideV w:val="single" w:sz="2" w:space="0" w:color="FFFFFF"/>
            </w:tcBorders>
            <w:shd w:fill="auto" w:val="clear"/>
          </w:tcPr>
          <w:p>
            <w:pPr>
              <w:pStyle w:val="Obsahtabuky"/>
              <w:spacing w:before="0" w:after="20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Pozor</w:t>
            </w:r>
          </w:p>
        </w:tc>
      </w:tr>
      <w:tr>
        <w:trPr/>
        <w:tc>
          <w:tcPr>
            <w:tcW w:w="302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insideH w:val="single" w:sz="2" w:space="0" w:color="FFFFFF"/>
            </w:tcBorders>
            <w:shd w:fill="auto" w:val="clear"/>
          </w:tcPr>
          <w:p>
            <w:pPr>
              <w:pStyle w:val="Telotextu"/>
              <w:widowControl/>
              <w:spacing w:before="0" w:after="225"/>
              <w:ind w:left="0" w:right="0" w:hanging="0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u w:val="none"/>
                <w:em w:val="none"/>
              </w:rPr>
              <w:t xml:space="preserve">Výstražné upozornenie:    </w:t>
            </w:r>
          </w:p>
        </w:tc>
        <w:tc>
          <w:tcPr>
            <w:tcW w:w="606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  <w:insideH w:val="single" w:sz="2" w:space="0" w:color="FFFFFF"/>
              <w:insideV w:val="single" w:sz="2" w:space="0" w:color="FFFFFF"/>
            </w:tcBorders>
            <w:shd w:fill="auto" w:val="clear"/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u w:val="none"/>
                <w:em w:val="none"/>
              </w:rPr>
              <w:t xml:space="preserve">H 319 Spôsobuje vážne podráždenie očí.                                     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H315 Dráždi kožu.</w:t>
            </w:r>
          </w:p>
        </w:tc>
      </w:tr>
      <w:tr>
        <w:trPr/>
        <w:tc>
          <w:tcPr>
            <w:tcW w:w="302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insideH w:val="single" w:sz="2" w:space="0" w:color="FFFFFF"/>
            </w:tcBorders>
            <w:shd w:fill="auto" w:val="clear"/>
          </w:tcPr>
          <w:p>
            <w:pPr>
              <w:pStyle w:val="Telotextu"/>
              <w:widowControl/>
              <w:spacing w:before="0" w:after="225"/>
              <w:ind w:left="0" w:right="0" w:hanging="0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u w:val="none"/>
                <w:em w:val="none"/>
              </w:rPr>
              <w:t>Bezpečnostná prevencia:</w:t>
            </w:r>
          </w:p>
        </w:tc>
        <w:tc>
          <w:tcPr>
            <w:tcW w:w="606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  <w:insideH w:val="single" w:sz="2" w:space="0" w:color="FFFFFF"/>
              <w:insideV w:val="single" w:sz="2" w:space="0" w:color="FFFFFF"/>
            </w:tcBorders>
            <w:shd w:fill="auto" w:val="clear"/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u w:val="none"/>
                <w:em w:val="none"/>
              </w:rPr>
              <w:t>P 102 Uchovávajte mimo dosahu detí.                                     P 264 Po manipulácií starostlivo umyte ruky.                         P 280 Noste ochranné rukavice/ochranný odev/ochranné okuliare/ochranu tváre.</w:t>
            </w:r>
          </w:p>
        </w:tc>
      </w:tr>
      <w:tr>
        <w:trPr/>
        <w:tc>
          <w:tcPr>
            <w:tcW w:w="302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insideH w:val="single" w:sz="2" w:space="0" w:color="FFFFFF"/>
            </w:tcBorders>
            <w:shd w:fill="auto" w:val="clear"/>
          </w:tcPr>
          <w:p>
            <w:pPr>
              <w:pStyle w:val="Telotextu"/>
              <w:widowControl/>
              <w:spacing w:before="0" w:after="225"/>
              <w:ind w:left="0" w:right="0" w:hanging="0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u w:val="none"/>
                <w:em w:val="none"/>
              </w:rPr>
              <w:t>Bezpečnostné opatrenia:</w:t>
            </w:r>
          </w:p>
        </w:tc>
        <w:tc>
          <w:tcPr>
            <w:tcW w:w="606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  <w:insideH w:val="single" w:sz="2" w:space="0" w:color="FFFFFF"/>
              <w:insideV w:val="single" w:sz="2" w:space="0" w:color="FFFFFF"/>
            </w:tcBorders>
            <w:shd w:fill="auto" w:val="clear"/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u w:val="none"/>
                <w:em w:val="none"/>
              </w:rPr>
              <w:t xml:space="preserve">P305 + 351 + 338 PO ZASIAHNUTÍ OČÍ: Niekoľko minút ich opatrne vyplachujte vodou.                                                    Ak používate kontaktné šošovky a je to možné, odstráňte ich. Pokračujte vo vyplachovaní.                                                            P337 + 313 Ak podráždenie očí pretrváva: Vyhľadajte lekársku pomoc/starostlivosť.                                             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P302 + P352  PRI KONTAKTE S POKOŽKOU: Umyte veľkým množstvom vody a mydla.                                                                                       P332 + P313 Ak sa objaví podráždenie pokožky, vyhľadajte lekársku pomoc/starostlivosť.                                                                                                    P362  Kontaminovaný odev vyzlečte.</w:t>
            </w:r>
          </w:p>
        </w:tc>
      </w:tr>
    </w:tbl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Obsahuje:                                                                                                                                  EUH 208  Obsahuje methylchloroisothiazolinone a methylisothiazolinone .                       Môže vyvolať alergickú reakciu.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2.3. Iná nebezpečnosť          </w:t>
        <w:tab/>
        <w:tab/>
        <w:tab/>
        <w:t xml:space="preserve">neaplikuje sa                                                                                                 </w:t>
      </w:r>
    </w:p>
    <w:p>
      <w:pPr>
        <w:pStyle w:val="Nadpis5"/>
        <w:widowControl/>
        <w:spacing w:lineRule="atLeast" w:line="405" w:before="0" w:after="0"/>
        <w:ind w:left="0" w:right="0" w:hanging="0"/>
        <w:rPr/>
      </w:pPr>
      <w:hyperlink r:id="rId6">
        <w:r>
          <w:rPr>
            <w:rStyle w:val="Silnzvraznenie"/>
            <w:rFonts w:ascii="Times New Roman" w:hAnsi="Times New Roman"/>
            <w:b/>
            <w:i w:val="false"/>
            <w:caps w:val="false"/>
            <w:smallCaps w:val="false"/>
            <w:strike w:val="false"/>
            <w:dstrike w:val="false"/>
            <w:color w:val="auto"/>
            <w:spacing w:val="0"/>
            <w:sz w:val="24"/>
            <w:szCs w:val="24"/>
            <w:u w:val="none"/>
            <w:effect w:val="none"/>
          </w:rPr>
          <w:t>ODDIEL 3: Zloženie/informácie o zložkách</w:t>
        </w:r>
      </w:hyperlink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>3.1. Látky</w:t>
        <w:br/>
        <w:t>3.2. Zmesi</w:t>
      </w:r>
    </w:p>
    <w:tbl>
      <w:tblPr>
        <w:tblW w:w="9000" w:type="dxa"/>
        <w:jc w:val="left"/>
        <w:tblInd w:w="8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40" w:type="dxa"/>
          <w:bottom w:w="55" w:type="dxa"/>
          <w:right w:w="55" w:type="dxa"/>
        </w:tblCellMar>
      </w:tblPr>
      <w:tblGrid>
        <w:gridCol w:w="1260"/>
        <w:gridCol w:w="1980"/>
        <w:gridCol w:w="1980"/>
        <w:gridCol w:w="1800"/>
        <w:gridCol w:w="1980"/>
      </w:tblGrid>
      <w:tr>
        <w:trPr/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Obsahtabuky"/>
              <w:spacing w:before="0" w:after="200"/>
              <w:rPr/>
            </w:pPr>
            <w:r>
              <w:rPr/>
              <w:t>Názov zložky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>C12-14-alkylalkoholy, etoxylované,  sulfáty, sodné soli (1&gt; mol EO&lt;2.5)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 xml:space="preserve">Natrium -dodecylbenzénsulfonát  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3"/>
                <w:u w:val="none"/>
                <w:em w:val="none"/>
              </w:rPr>
              <w:t>1-propanaminium , 3-amino-N-(carboxymethyl)-N,N-dimethyl-,N-C8-18(even numbered) acyl derivs., hydroxides, inner salts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>5-chloro-2-methyl-4-iso-thiazolin-3-one a 2-methyl-2H-isothiazol-3-one (3:1)</w:t>
            </w:r>
          </w:p>
        </w:tc>
      </w:tr>
      <w:tr>
        <w:trPr/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Obsahtabuky"/>
              <w:spacing w:before="0" w:after="200"/>
              <w:rPr/>
            </w:pPr>
            <w:r>
              <w:rPr/>
              <w:t>Koncentácia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3"/>
                <w:u w:val="none"/>
                <w:em w:val="none"/>
              </w:rPr>
              <w:t>&lt; 6 %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3"/>
                <w:u w:val="none"/>
                <w:em w:val="none"/>
              </w:rPr>
              <w:t>&lt; 10 %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3"/>
                <w:u w:val="none"/>
                <w:em w:val="none"/>
              </w:rPr>
              <w:t>&lt; 1 %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>&lt; 0,0015 %</w:t>
            </w:r>
          </w:p>
        </w:tc>
      </w:tr>
      <w:tr>
        <w:trPr/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Obsahtabuky"/>
              <w:spacing w:before="0" w:after="200"/>
              <w:rPr/>
            </w:pPr>
            <w:r>
              <w:rPr/>
              <w:t>CAS číslo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>68891-38-3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 xml:space="preserve">25155-30-0 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/>
              <w:t>-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Obsahtabuky"/>
              <w:suppressLineNumbers/>
              <w:spacing w:before="0" w:after="200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55965-84-9</w:t>
            </w:r>
          </w:p>
        </w:tc>
      </w:tr>
      <w:tr>
        <w:trPr/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Obsahtabuky"/>
              <w:spacing w:before="0" w:after="200"/>
              <w:rPr/>
            </w:pPr>
            <w:r>
              <w:rPr/>
              <w:t>EC číslo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>500-234-8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Obsahtabuky"/>
              <w:spacing w:before="0" w:after="200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246-680-4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Obsahtabuky"/>
              <w:spacing w:before="0" w:after="200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931-296-8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Obsahtabuky"/>
              <w:suppressLineNumbers/>
              <w:spacing w:before="0" w:after="200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247-500-7                                  220-239-6</w:t>
            </w:r>
          </w:p>
        </w:tc>
      </w:tr>
      <w:tr>
        <w:trPr/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Obsahtabuky"/>
              <w:spacing w:before="0" w:after="200"/>
              <w:rPr/>
            </w:pPr>
            <w:r>
              <w:rPr/>
              <w:t>Registračné číslo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>01-2119488639-16-0013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u w:val="none"/>
                <w:em w:val="none"/>
              </w:rPr>
              <w:t>01-2120088038-51-0004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01-2119488533-30-xxxx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Obsahtabuky"/>
              <w:suppressLineNumbers/>
              <w:spacing w:before="0" w:after="200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01-2120764691-48-xxxx</w:t>
            </w:r>
          </w:p>
        </w:tc>
      </w:tr>
      <w:tr>
        <w:trPr/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Obsahtabuky"/>
              <w:spacing w:before="0" w:after="200"/>
              <w:rPr/>
            </w:pPr>
            <w:r>
              <w:rPr/>
              <w:t>Výstražný symbol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 xml:space="preserve">GHS 05                      dráždivosť pre kožu kat.2   vážne poškodenie očí kat. 1     chronická vodná toxicita, kat.3                                          poznámka:                 </w:t>
            </w:r>
          </w:p>
          <w:p>
            <w:pPr>
              <w:pStyle w:val="Normal"/>
              <w:spacing w:before="0" w:after="200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3"/>
                <w:u w:val="none"/>
                <w:em w:val="none"/>
              </w:rPr>
              <w:t>pre koncentráciu  =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3"/>
                <w:u w:val="none"/>
                <w:em w:val="none"/>
                <w:lang w:val="en-US"/>
              </w:rPr>
              <w:t>&gt;10%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3"/>
                <w:u w:val="none"/>
                <w:em w:val="none"/>
              </w:rPr>
              <w:t xml:space="preserve">   platí          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>vážne poškodenie očí kat. 1 , H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3"/>
                <w:u w:val="none"/>
                <w:em w:val="none"/>
              </w:rPr>
              <w:t xml:space="preserve"> 318                 </w:t>
            </w:r>
          </w:p>
          <w:p>
            <w:pPr>
              <w:pStyle w:val="Normal"/>
              <w:spacing w:before="0" w:after="200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3"/>
                <w:u w:val="none"/>
                <w:em w:val="none"/>
              </w:rPr>
              <w:t>pre koncentráciu  =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3"/>
                <w:u w:val="none"/>
                <w:em w:val="none"/>
                <w:lang w:val="en-US"/>
              </w:rPr>
              <w:t>&gt;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3"/>
                <w:u w:val="none"/>
                <w:em w:val="none"/>
              </w:rPr>
              <w:t xml:space="preserve"> 5 % 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3"/>
                <w:u w:val="none"/>
                <w:em w:val="none"/>
                <w:lang w:val="en-US"/>
              </w:rPr>
              <w:t>&lt;10%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3"/>
                <w:u w:val="none"/>
                <w:em w:val="none"/>
              </w:rPr>
              <w:t xml:space="preserve">   platí                                               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 xml:space="preserve">  podráždenie očí kat. 2, H319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 xml:space="preserve">GHS 05                            vážne poškodenie očí, kat. 1                                  podráždenie kože, kat.2  GHS 07                                      akútna toxicita orálna, kat. 4             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 xml:space="preserve">GHS 05                                   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3"/>
                <w:u w:val="none"/>
                <w:em w:val="none"/>
              </w:rPr>
              <w:t xml:space="preserve">vážne poškodenie očí kat. 1     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>chronická vodná toxicita, kat.3                   poznámka:</w:t>
            </w:r>
          </w:p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 xml:space="preserve">pre koncentráciu         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3"/>
                <w:u w:val="none"/>
                <w:em w:val="none"/>
                <w:lang w:val="en-US"/>
              </w:rPr>
              <w:t>&gt;10%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3"/>
                <w:u w:val="none"/>
                <w:em w:val="none"/>
              </w:rPr>
              <w:t xml:space="preserve">  platí                          vážne poškodenie očí kat.1, H318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 xml:space="preserve">  </w:t>
            </w:r>
          </w:p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 xml:space="preserve">pre koncentráciu                 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3"/>
                <w:u w:val="none"/>
                <w:em w:val="none"/>
                <w:lang w:val="en-US"/>
              </w:rPr>
              <w:t>&gt;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3"/>
                <w:u w:val="none"/>
                <w:em w:val="none"/>
                <w:lang w:val="sk-SK"/>
              </w:rPr>
              <w:t xml:space="preserve">4 % a  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3"/>
                <w:u w:val="none"/>
                <w:em w:val="none"/>
                <w:lang w:val="en-US"/>
              </w:rPr>
              <w:t>&lt;=10%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3"/>
                <w:u w:val="none"/>
                <w:em w:val="none"/>
              </w:rPr>
              <w:t xml:space="preserve">    platí                                                                podráždenenie  oči kat. 2, H319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 xml:space="preserve">GHS 05                                žieravosť pre kožu kat. 1C        vážne poškodenie očí kat.1                          GHS 09                                               akútna vodná toxicita, kat.1                </w:t>
            </w:r>
            <w:bookmarkStart w:id="0" w:name="__DdeLink__2833_4263556358"/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 xml:space="preserve">chronická vodná toxicita, kat.1   </w:t>
            </w:r>
            <w:bookmarkEnd w:id="0"/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 xml:space="preserve">                                                                                              GHS 07                              dráždivosť pre kožu kat.1                        GHS 06                                         akútna toxicita kat. 2                       akútna toxicita kat. 3</w:t>
            </w:r>
          </w:p>
          <w:p>
            <w:pPr>
              <w:pStyle w:val="Caption3"/>
              <w:spacing w:before="0" w:after="0"/>
              <w:rPr/>
            </w:pPr>
            <w:r>
              <w:rPr>
                <w:rFonts w:cs="Arial" w:ascii="Times New Roman" w:hAnsi="Times New Roman"/>
                <w:bCs/>
                <w:i w:val="false"/>
                <w:iCs w:val="false"/>
                <w:sz w:val="16"/>
                <w:szCs w:val="16"/>
              </w:rPr>
              <w:t>Špecifický limit</w:t>
            </w:r>
          </w:p>
          <w:p>
            <w:pPr>
              <w:pStyle w:val="Caption3"/>
              <w:spacing w:before="0" w:after="0"/>
              <w:rPr/>
            </w:pPr>
            <w:r>
              <w:rPr>
                <w:rFonts w:cs="Arial" w:ascii="Times New Roman" w:hAnsi="Times New Roman"/>
                <w:bCs/>
                <w:i w:val="false"/>
                <w:iCs w:val="false"/>
                <w:sz w:val="16"/>
                <w:szCs w:val="16"/>
              </w:rPr>
              <w:t xml:space="preserve">Skin Corr. 1B;H314: </w:t>
            </w:r>
          </w:p>
          <w:p>
            <w:pPr>
              <w:pStyle w:val="Caption3"/>
              <w:spacing w:before="0" w:after="0"/>
              <w:rPr/>
            </w:pPr>
            <w:r>
              <w:rPr>
                <w:rFonts w:cs="Arial" w:ascii="Times New Roman" w:hAnsi="Times New Roman"/>
                <w:bCs/>
                <w:i w:val="false"/>
                <w:iCs w:val="false"/>
                <w:sz w:val="16"/>
                <w:szCs w:val="16"/>
              </w:rPr>
              <w:t>C ≥ 0,6 %</w:t>
            </w:r>
          </w:p>
          <w:p>
            <w:pPr>
              <w:pStyle w:val="Caption3"/>
              <w:spacing w:before="0" w:after="0"/>
              <w:rPr/>
            </w:pPr>
            <w:r>
              <w:rPr>
                <w:rFonts w:cs="Arial" w:ascii="Times New Roman" w:hAnsi="Times New Roman"/>
                <w:bCs/>
                <w:i w:val="false"/>
                <w:iCs w:val="false"/>
                <w:sz w:val="16"/>
                <w:szCs w:val="16"/>
              </w:rPr>
              <w:t xml:space="preserve">Skin Irrit. 2;H315: </w:t>
            </w:r>
          </w:p>
          <w:p>
            <w:pPr>
              <w:pStyle w:val="Caption3"/>
              <w:spacing w:before="0" w:after="0"/>
              <w:rPr/>
            </w:pPr>
            <w:r>
              <w:rPr>
                <w:rFonts w:cs="Arial" w:ascii="Times New Roman" w:hAnsi="Times New Roman"/>
                <w:bCs/>
                <w:i w:val="false"/>
                <w:iCs w:val="false"/>
                <w:sz w:val="16"/>
                <w:szCs w:val="16"/>
              </w:rPr>
              <w:t>0,06 % ≤ C&lt; 0,6 %</w:t>
            </w:r>
          </w:p>
          <w:p>
            <w:pPr>
              <w:pStyle w:val="Caption3"/>
              <w:spacing w:before="0" w:after="0"/>
              <w:rPr/>
            </w:pPr>
            <w:r>
              <w:rPr>
                <w:rFonts w:cs="Arial" w:ascii="Times New Roman" w:hAnsi="Times New Roman"/>
                <w:bCs/>
                <w:i w:val="false"/>
                <w:iCs w:val="false"/>
                <w:sz w:val="16"/>
                <w:szCs w:val="16"/>
              </w:rPr>
              <w:t>Eye Irrit. 2; H319:</w:t>
            </w:r>
          </w:p>
          <w:p>
            <w:pPr>
              <w:pStyle w:val="Caption3"/>
              <w:spacing w:before="0" w:after="0"/>
              <w:rPr/>
            </w:pPr>
            <w:r>
              <w:rPr>
                <w:rFonts w:cs="Arial" w:ascii="Times New Roman" w:hAnsi="Times New Roman"/>
                <w:bCs/>
                <w:i w:val="false"/>
                <w:iCs w:val="false"/>
                <w:sz w:val="16"/>
                <w:szCs w:val="16"/>
              </w:rPr>
              <w:t>0,06 % ≤ C &lt;0,6 %</w:t>
            </w:r>
          </w:p>
          <w:p>
            <w:pPr>
              <w:pStyle w:val="Caption3"/>
              <w:spacing w:before="0" w:after="0"/>
              <w:rPr/>
            </w:pPr>
            <w:r>
              <w:rPr>
                <w:rFonts w:cs="Arial" w:ascii="Times New Roman" w:hAnsi="Times New Roman"/>
                <w:bCs/>
                <w:i w:val="false"/>
                <w:iCs w:val="false"/>
                <w:sz w:val="16"/>
                <w:szCs w:val="16"/>
              </w:rPr>
              <w:t xml:space="preserve">Skin Sens. 1;H317: </w:t>
            </w:r>
          </w:p>
          <w:p>
            <w:pPr>
              <w:pStyle w:val="Caption3"/>
              <w:spacing w:before="0" w:after="0"/>
              <w:rPr/>
            </w:pPr>
            <w:r>
              <w:rPr>
                <w:rFonts w:cs="Arial" w:ascii="Times New Roman" w:hAnsi="Times New Roman"/>
                <w:bCs/>
                <w:i w:val="false"/>
                <w:iCs w:val="false"/>
                <w:sz w:val="16"/>
                <w:szCs w:val="16"/>
              </w:rPr>
              <w:t>C ≥0,0015 %</w:t>
            </w:r>
          </w:p>
          <w:p>
            <w:pPr>
              <w:pStyle w:val="Normal"/>
              <w:spacing w:before="0" w:after="200"/>
              <w:rPr/>
            </w:pPr>
            <w:r>
              <w:rPr>
                <w:rFonts w:cs="Arial" w:ascii="Times New Roman" w:hAnsi="Times New Roman"/>
                <w:i w:val="false"/>
                <w:iCs w:val="false"/>
                <w:sz w:val="16"/>
                <w:szCs w:val="16"/>
              </w:rPr>
              <w:t>M</w:t>
            </w:r>
            <w:r>
              <w:rPr>
                <w:rFonts w:cs="Arial" w:ascii="Times New Roman" w:hAnsi="Times New Roman"/>
                <w:i w:val="false"/>
                <w:iCs w:val="false"/>
                <w:sz w:val="16"/>
                <w:szCs w:val="16"/>
                <w:lang w:val="en-US"/>
              </w:rPr>
              <w:t>=</w:t>
            </w:r>
            <w:r>
              <w:rPr>
                <w:rFonts w:cs="Arial" w:ascii="Times New Roman" w:hAnsi="Times New Roman"/>
                <w:i w:val="false"/>
                <w:iCs w:val="false"/>
                <w:sz w:val="16"/>
                <w:szCs w:val="16"/>
              </w:rPr>
              <w:t xml:space="preserve">100                </w:t>
            </w:r>
            <w:r>
              <w:rPr>
                <w:rFonts w:cs="Arial" w:ascii="Times New Roman" w:hAnsi="Times New Roman"/>
                <w:b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16"/>
                <w:szCs w:val="16"/>
                <w:u w:val="none"/>
                <w:em w:val="none"/>
              </w:rPr>
              <w:t>M(chr.)</w:t>
            </w:r>
            <w:r>
              <w:rPr>
                <w:rFonts w:cs="Arial" w:ascii="Times New Roman" w:hAnsi="Times New Roman"/>
                <w:b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16"/>
                <w:szCs w:val="16"/>
                <w:u w:val="none"/>
                <w:em w:val="none"/>
                <w:lang w:val="en-US"/>
              </w:rPr>
              <w:t>=</w:t>
            </w:r>
            <w:r>
              <w:rPr>
                <w:rFonts w:cs="Arial" w:ascii="Times New Roman" w:hAnsi="Times New Roman"/>
                <w:b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16"/>
                <w:szCs w:val="16"/>
                <w:u w:val="none"/>
                <w:em w:val="none"/>
              </w:rPr>
              <w:t>100</w:t>
            </w:r>
          </w:p>
        </w:tc>
      </w:tr>
      <w:tr>
        <w:trPr/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Obsahtabuky"/>
              <w:spacing w:before="0" w:after="200"/>
              <w:rPr/>
            </w:pPr>
            <w:r>
              <w:rPr/>
              <w:t>Výstražné slovo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>nebezpečenstvo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>nebezpečenstvo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>nebezpečenstvo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>nebezpečenstvo</w:t>
            </w:r>
          </w:p>
        </w:tc>
      </w:tr>
      <w:tr>
        <w:trPr/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Obsahtabuky"/>
              <w:spacing w:before="0" w:after="200"/>
              <w:rPr/>
            </w:pPr>
            <w:r>
              <w:rPr/>
              <w:t>H výroky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>H 315                                        H 318                                          H 412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u w:val="none"/>
                <w:em w:val="none"/>
              </w:rPr>
              <w:t>H 315                                        H 318                                              H 302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 xml:space="preserve">H 318                              H 412  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 xml:space="preserve">H 301           H 330                          H 310           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u w:val="none"/>
                <w:em w:val="none"/>
              </w:rPr>
              <w:t xml:space="preserve">H 400 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 xml:space="preserve">                       H 314           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u w:val="none"/>
                <w:em w:val="none"/>
              </w:rPr>
              <w:t xml:space="preserve">H 410                                            H 317                                                    H 318                                                                   </w:t>
            </w:r>
          </w:p>
        </w:tc>
      </w:tr>
    </w:tbl>
    <w:p>
      <w:pPr>
        <w:pStyle w:val="Normal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0"/>
          <w:szCs w:val="24"/>
          <w:u w:val="none"/>
          <w:em w:val="none"/>
        </w:rPr>
        <w:t>Plný text H-viet uvedených v tomto oddieli viď oddiel 16.</w:t>
      </w:r>
    </w:p>
    <w:p>
      <w:pPr>
        <w:pStyle w:val="Nadpis5"/>
        <w:widowControl/>
        <w:spacing w:lineRule="atLeast" w:line="405" w:before="0" w:after="0"/>
        <w:ind w:left="0" w:right="0" w:hanging="0"/>
        <w:rPr/>
      </w:pPr>
      <w:hyperlink r:id="rId7">
        <w:r>
          <w:rPr>
            <w:rStyle w:val="Silnzvraznenie"/>
            <w:rFonts w:ascii="Times New Roman" w:hAnsi="Times New Roman"/>
            <w:b/>
            <w:i w:val="false"/>
            <w:caps w:val="false"/>
            <w:smallCaps w:val="false"/>
            <w:strike w:val="false"/>
            <w:dstrike w:val="false"/>
            <w:color w:val="auto"/>
            <w:spacing w:val="0"/>
            <w:sz w:val="24"/>
            <w:szCs w:val="24"/>
            <w:u w:val="none"/>
            <w:effect w:val="none"/>
          </w:rPr>
          <w:t>ODDIEL 4: Opatrenia prvej pomoci</w:t>
        </w:r>
      </w:hyperlink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4.1. Opis opatrení prvej pomoci                                                                                      </w:t>
      </w:r>
      <w:r>
        <w:rPr>
          <w:rFonts w:ascii="Times New Roman" w:hAnsi="Times New Roman"/>
          <w:b w:val="false"/>
          <w:i/>
          <w:iCs/>
          <w:strike w:val="false"/>
          <w:dstrike w:val="false"/>
          <w:outline w:val="false"/>
          <w:shadow w:val="false"/>
          <w:sz w:val="24"/>
          <w:u w:val="single"/>
          <w:em w:val="none"/>
        </w:rPr>
        <w:t>Všeobecné pokyny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single"/>
          <w:em w:val="none"/>
        </w:rPr>
        <w:t xml:space="preserve">: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>Dodržujte bezpečnostné pokyny uvedené na obale prípravku. Pri výskyte zdravotných ťažkostí alebo v pr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 xml:space="preserve">ípade neistoty navštívte lekára a poskytnite mu údaje z tejto karty bezpečnostných údajov. V žiadnom prípade nevyvolávajte zvracanie.                                               </w:t>
      </w:r>
      <w:r>
        <w:rPr>
          <w:rFonts w:ascii="Times New Roman" w:hAnsi="Times New Roman"/>
          <w:b w:val="false"/>
          <w:i/>
          <w:iCs/>
          <w:strike w:val="false"/>
          <w:dstrike w:val="false"/>
          <w:outline w:val="false"/>
          <w:shadow w:val="false"/>
          <w:sz w:val="24"/>
          <w:u w:val="single"/>
          <w:em w:val="none"/>
        </w:rPr>
        <w:t xml:space="preserve">Pri vdýchnutí: </w:t>
      </w:r>
      <w:r>
        <w:rPr>
          <w:rFonts w:ascii="Times New Roman" w:hAnsi="Times New Roman"/>
          <w:b w:val="false"/>
          <w:i w:val="false"/>
          <w:iCs/>
          <w:strike w:val="false"/>
          <w:dstrike w:val="false"/>
          <w:outline w:val="false"/>
          <w:shadow w:val="false"/>
          <w:sz w:val="24"/>
          <w:u w:val="none"/>
          <w:em w:val="none"/>
        </w:rPr>
        <w:t xml:space="preserve">Dopravte na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 xml:space="preserve">čerstvý vzduch.                                                                                                 </w:t>
      </w:r>
      <w:r>
        <w:rPr>
          <w:rFonts w:ascii="Times New Roman" w:hAnsi="Times New Roman"/>
          <w:b w:val="false"/>
          <w:i/>
          <w:iCs/>
          <w:strike w:val="false"/>
          <w:dstrike w:val="false"/>
          <w:outline w:val="false"/>
          <w:shadow w:val="false"/>
          <w:sz w:val="24"/>
          <w:u w:val="single"/>
          <w:em w:val="none"/>
        </w:rPr>
        <w:t>Pri kontakte s pokožkou:</w:t>
      </w:r>
      <w:r>
        <w:rPr>
          <w:rFonts w:ascii="Times New Roman" w:hAnsi="Times New Roman"/>
          <w:b w:val="false"/>
          <w:i/>
          <w:iCs/>
          <w:strike w:val="false"/>
          <w:dstrike w:val="false"/>
          <w:outline w:val="false"/>
          <w:shadow w:val="false"/>
          <w:sz w:val="24"/>
          <w:u w:val="none"/>
          <w:em w:val="none"/>
        </w:rPr>
        <w:t xml:space="preserve"> </w:t>
      </w:r>
      <w:r>
        <w:rPr>
          <w:rFonts w:ascii="Times New Roman" w:hAnsi="Times New Roman"/>
          <w:b w:val="false"/>
          <w:i w:val="false"/>
          <w:iCs/>
          <w:strike w:val="false"/>
          <w:dstrike w:val="false"/>
          <w:outline w:val="false"/>
          <w:shadow w:val="false"/>
          <w:sz w:val="24"/>
          <w:u w:val="none"/>
          <w:em w:val="none"/>
        </w:rPr>
        <w:t>Pri vzniku podr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 xml:space="preserve">áždenia postihnuté miesto umyte vodou a dobre opláchnite, natrite reparačným krémom.                                                                                           </w:t>
      </w:r>
      <w:r>
        <w:rPr>
          <w:rFonts w:ascii="Times New Roman" w:hAnsi="Times New Roman"/>
          <w:b w:val="false"/>
          <w:i/>
          <w:iCs/>
          <w:strike w:val="false"/>
          <w:dstrike w:val="false"/>
          <w:outline w:val="false"/>
          <w:shadow w:val="false"/>
          <w:sz w:val="24"/>
          <w:u w:val="single"/>
          <w:em w:val="none"/>
        </w:rPr>
        <w:t xml:space="preserve">Pri kontakte s očami: </w:t>
      </w:r>
      <w:r>
        <w:rPr>
          <w:rFonts w:ascii="Times New Roman" w:hAnsi="Times New Roman"/>
          <w:b w:val="false"/>
          <w:i w:val="false"/>
          <w:iCs/>
          <w:strike w:val="false"/>
          <w:dstrike w:val="false"/>
          <w:outline w:val="false"/>
          <w:shadow w:val="false"/>
          <w:sz w:val="24"/>
          <w:u w:val="none"/>
          <w:em w:val="none"/>
        </w:rPr>
        <w:t>Nieko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 xml:space="preserve">ľko minút ich opatrne vyplachujte vodou. Ak používate kontaktné šošovky a je to možné, odstráňte ich. Pokračujte vo vyplachovaní. Ak podráždenie očí pretrváva, vyhľadajte lekársku pomoc/starostlivosť.                                                                           </w:t>
      </w:r>
      <w:r>
        <w:rPr>
          <w:rFonts w:ascii="Times New Roman" w:hAnsi="Times New Roman"/>
          <w:b w:val="false"/>
          <w:i/>
          <w:iCs/>
          <w:strike w:val="false"/>
          <w:dstrike w:val="false"/>
          <w:outline w:val="false"/>
          <w:shadow w:val="false"/>
          <w:sz w:val="24"/>
          <w:u w:val="single"/>
          <w:em w:val="none"/>
        </w:rPr>
        <w:t xml:space="preserve">Pri požití: </w:t>
      </w:r>
      <w:r>
        <w:rPr>
          <w:rFonts w:ascii="Times New Roman" w:hAnsi="Times New Roman"/>
          <w:b w:val="false"/>
          <w:i w:val="false"/>
          <w:iCs/>
          <w:strike w:val="false"/>
          <w:dstrike w:val="false"/>
          <w:outline w:val="false"/>
          <w:shadow w:val="false"/>
          <w:sz w:val="24"/>
          <w:u w:val="none"/>
          <w:em w:val="none"/>
        </w:rPr>
        <w:t>Vypl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áchnuť ústa čistou vodou ak je pri vedomí. Ak postihnutý vracia, treba ho uložiť do polohy na stranu, aby nedošlo k uduseniu zvratkami. Nevyvolávajte zvracanie, vyhľadajte lekársku pomoc.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4.2. Najdôležitejšie príznaky a účinky, akútne aj oneskorené                                                       </w:t>
      </w:r>
      <w:r>
        <w:rPr>
          <w:rFonts w:ascii="Times New Roman" w:hAnsi="Times New Roman"/>
          <w:b w:val="false"/>
          <w:i/>
          <w:iCs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single"/>
          <w:em w:val="none"/>
        </w:rPr>
        <w:t>Pri vd</w:t>
      </w:r>
      <w:r>
        <w:rPr>
          <w:rFonts w:ascii="Times New Roman" w:hAnsi="Times New Roman"/>
          <w:b w:val="false"/>
          <w:i/>
          <w:iCs/>
          <w:strike w:val="false"/>
          <w:dstrike w:val="false"/>
          <w:outline w:val="false"/>
          <w:shadow w:val="false"/>
          <w:sz w:val="24"/>
          <w:u w:val="single"/>
          <w:em w:val="none"/>
        </w:rPr>
        <w:t>ýchnutí: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 xml:space="preserve"> podráždenie dýchacieho traktu, kašeľ                                                                                  </w:t>
      </w:r>
      <w:r>
        <w:rPr>
          <w:rFonts w:ascii="Times New Roman" w:hAnsi="Times New Roman"/>
          <w:b w:val="false"/>
          <w:i/>
          <w:iCs/>
          <w:strike w:val="false"/>
          <w:dstrike w:val="false"/>
          <w:outline w:val="false"/>
          <w:shadow w:val="false"/>
          <w:color w:val="000000"/>
          <w:sz w:val="24"/>
          <w:u w:val="single"/>
          <w:em w:val="none"/>
        </w:rPr>
        <w:t>Pri kontakte s poko</w:t>
      </w:r>
      <w:r>
        <w:rPr>
          <w:rFonts w:ascii="Times New Roman" w:hAnsi="Times New Roman"/>
          <w:b w:val="false"/>
          <w:i/>
          <w:iCs/>
          <w:strike w:val="false"/>
          <w:dstrike w:val="false"/>
          <w:outline w:val="false"/>
          <w:shadow w:val="false"/>
          <w:sz w:val="24"/>
          <w:u w:val="single"/>
          <w:em w:val="none"/>
        </w:rPr>
        <w:t>žkou: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single"/>
          <w:em w:val="none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 xml:space="preserve">dočasné podráždenie kože, začervenanie, pálenie                                         </w:t>
      </w:r>
      <w:r>
        <w:rPr>
          <w:rFonts w:ascii="Times New Roman" w:hAnsi="Times New Roman"/>
          <w:b w:val="false"/>
          <w:i/>
          <w:iCs/>
          <w:strike w:val="false"/>
          <w:dstrike w:val="false"/>
          <w:outline w:val="false"/>
          <w:shadow w:val="false"/>
          <w:color w:val="000000"/>
          <w:sz w:val="24"/>
          <w:u w:val="single"/>
          <w:em w:val="none"/>
        </w:rPr>
        <w:t>Pri kontakte s o</w:t>
      </w:r>
      <w:r>
        <w:rPr>
          <w:rFonts w:ascii="Times New Roman" w:hAnsi="Times New Roman"/>
          <w:b w:val="false"/>
          <w:i/>
          <w:iCs/>
          <w:strike w:val="false"/>
          <w:dstrike w:val="false"/>
          <w:outline w:val="false"/>
          <w:shadow w:val="false"/>
          <w:sz w:val="24"/>
          <w:u w:val="single"/>
          <w:em w:val="none"/>
        </w:rPr>
        <w:t>čami: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single"/>
          <w:em w:val="none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 xml:space="preserve">podráždenie očí, začervenanie, pálenie, slzenie                                                     </w:t>
      </w:r>
      <w:r>
        <w:rPr>
          <w:rFonts w:ascii="Times New Roman" w:hAnsi="Times New Roman"/>
          <w:b w:val="false"/>
          <w:i/>
          <w:iCs/>
          <w:strike w:val="false"/>
          <w:dstrike w:val="false"/>
          <w:outline w:val="false"/>
          <w:shadow w:val="false"/>
          <w:color w:val="000000"/>
          <w:sz w:val="24"/>
          <w:u w:val="single"/>
          <w:em w:val="none"/>
        </w:rPr>
        <w:t>Pri po</w:t>
      </w:r>
      <w:r>
        <w:rPr>
          <w:rFonts w:ascii="Times New Roman" w:hAnsi="Times New Roman"/>
          <w:b w:val="false"/>
          <w:i/>
          <w:iCs/>
          <w:strike w:val="false"/>
          <w:dstrike w:val="false"/>
          <w:outline w:val="false"/>
          <w:shadow w:val="false"/>
          <w:sz w:val="24"/>
          <w:u w:val="single"/>
          <w:em w:val="none"/>
        </w:rPr>
        <w:t xml:space="preserve">žití: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 xml:space="preserve">podráždenie tráviaceho traktu, hnačka, zvracanie                                                               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br/>
        <w:t xml:space="preserve">4.3. Údaj o akejkoľvek potrebe okamžitej lekárskej starostlivosti a osobitného ošetrenia                      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žiadne osobitn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é upozornenie, pri požití nevyvolávať zvracanie, pri akýchkoľvek ťažkostiach kontaktovať lekára</w:t>
      </w:r>
    </w:p>
    <w:p>
      <w:pPr>
        <w:pStyle w:val="Nadpis5"/>
        <w:widowControl/>
        <w:spacing w:lineRule="atLeast" w:line="405" w:before="0" w:after="0"/>
        <w:ind w:left="0" w:right="0" w:hanging="0"/>
        <w:rPr/>
      </w:pPr>
      <w:hyperlink r:id="rId8">
        <w:r>
          <w:rPr>
            <w:rStyle w:val="Silnzvraznenie"/>
            <w:rFonts w:ascii="Times New Roman" w:hAnsi="Times New Roman"/>
            <w:b/>
            <w:i w:val="false"/>
            <w:caps w:val="false"/>
            <w:smallCaps w:val="false"/>
            <w:strike w:val="false"/>
            <w:dstrike w:val="false"/>
            <w:color w:val="auto"/>
            <w:spacing w:val="0"/>
            <w:sz w:val="24"/>
            <w:szCs w:val="24"/>
            <w:u w:val="none"/>
            <w:effect w:val="none"/>
          </w:rPr>
          <w:t>ODDIEL 5: Protipožiarne opatrenia</w:t>
        </w:r>
      </w:hyperlink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5.1. Hasiace prostriedky                                                                                                           </w:t>
      </w:r>
      <w:r>
        <w:rPr>
          <w:rFonts w:ascii="Times New Roman" w:hAnsi="Times New Roman"/>
          <w:b w:val="false"/>
          <w:i/>
          <w:iCs/>
          <w:strike w:val="false"/>
          <w:dstrike w:val="false"/>
          <w:outline w:val="false"/>
          <w:shadow w:val="false"/>
          <w:sz w:val="24"/>
          <w:u w:val="single"/>
          <w:em w:val="none"/>
        </w:rPr>
        <w:t>Vhodné hasiace prostriedky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: chemická pena, hasiaci prášok, voda, CO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vertAlign w:val="subscript"/>
          <w:em w:val="none"/>
        </w:rPr>
        <w:t xml:space="preserve">2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 w:val="false"/>
          <w:i/>
          <w:iCs/>
          <w:strike w:val="false"/>
          <w:dstrike w:val="false"/>
          <w:outline w:val="false"/>
          <w:shadow w:val="false"/>
          <w:sz w:val="24"/>
          <w:u w:val="single"/>
          <w:em w:val="none"/>
        </w:rPr>
        <w:t>Nevhodné hasiace prostriedky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: nie sú dostupné žiadne údaje</w:t>
      </w:r>
    </w:p>
    <w:p>
      <w:pPr>
        <w:pStyle w:val="Telotextu"/>
        <w:widowControl/>
        <w:spacing w:before="0" w:after="225"/>
        <w:ind w:left="0" w:right="0" w:hanging="0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auto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5.2. Osobitné ohrozenia vyplývajúce z látky alebo zo zmesi                                                    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Pri horen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í vznikajú oxidy uhlíka.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5.3. Rady pre požiarnikov                                                                                                                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Z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ásahová skupina musí používať ochranný oblek a izolačný dýchací prístroj v uzavretom priestore.</w:t>
      </w:r>
    </w:p>
    <w:p>
      <w:pPr>
        <w:pStyle w:val="Nadpis5"/>
        <w:widowControl/>
        <w:spacing w:lineRule="atLeast" w:line="405" w:before="0" w:after="0"/>
        <w:ind w:left="0" w:right="0" w:hanging="0"/>
        <w:rPr/>
      </w:pPr>
      <w:hyperlink r:id="rId9">
        <w:r>
          <w:rPr>
            <w:rStyle w:val="Silnzvraznenie"/>
            <w:rFonts w:ascii="Times New Roman" w:hAnsi="Times New Roman"/>
            <w:b/>
            <w:i w:val="false"/>
            <w:caps w:val="false"/>
            <w:smallCaps w:val="false"/>
            <w:strike w:val="false"/>
            <w:dstrike w:val="false"/>
            <w:color w:val="auto"/>
            <w:spacing w:val="0"/>
            <w:sz w:val="24"/>
            <w:szCs w:val="24"/>
            <w:u w:val="none"/>
            <w:effect w:val="none"/>
          </w:rPr>
          <w:t>ODDIEL 6: Opatrenia pri náhodnom uvoľnení</w:t>
        </w:r>
      </w:hyperlink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6.1. Osobné bezpečnostné opatrenia, ochranné vybavenie a núdzové postupy                                     </w:t>
      </w:r>
      <w:r>
        <w:rPr>
          <w:rFonts w:ascii="Times New Roman" w:hAnsi="Times New Roman"/>
        </w:rPr>
        <w:t xml:space="preserve">Dodržujte </w:t>
      </w:r>
      <w:r>
        <w:rPr>
          <w:rFonts w:ascii="Times New Roman" w:hAnsi="Times New Roman"/>
          <w:sz w:val="24"/>
          <w:szCs w:val="24"/>
        </w:rPr>
        <w:t>pravidlá</w:t>
      </w:r>
      <w:r>
        <w:rPr>
          <w:rFonts w:ascii="Times New Roman" w:hAnsi="Times New Roman"/>
        </w:rPr>
        <w:t xml:space="preserve"> pracovnej hygieny. Zabezpečte dostatočné vetranie.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Použite prostriedky osobnej ochrany (ochranné rukavice a ochranný odev). Ochrana osôb je uvedená v oddiely 8.</w:t>
      </w:r>
    </w:p>
    <w:p>
      <w:pPr>
        <w:pStyle w:val="Telotextu"/>
        <w:widowControl/>
        <w:spacing w:before="0" w:after="225"/>
        <w:ind w:left="0" w:right="0" w:hanging="0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auto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6.2. Bezpečnostné opatrenia pre životné prostredie                                                                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Zabráňte úniku do povrchových a spodných vôd.</w:t>
      </w:r>
    </w:p>
    <w:p>
      <w:pPr>
        <w:pStyle w:val="Telotextu"/>
        <w:widowControl/>
        <w:spacing w:before="0" w:after="225"/>
        <w:ind w:left="0" w:right="0" w:hanging="0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auto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>6.3. Metódy a materiál na zabránenie šíreniu a vyčistenie                                                         Pri úniku prostriedok zozbierajte a u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schov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ávajte vo vhodnej a uzavretej nádobe na zneškodnenie. Zriedite veľkým množstvom vody 1:100 a likvidujte v čističke odpadových vôd.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6.4. Odkaz na iné oddiely                                                                                                               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Inform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ácie o osobných ochranných pomôckach viď v oddieli 8.                                                             Informácie o nakladaní s odpadmi viď v oddieli 13.</w:t>
      </w:r>
    </w:p>
    <w:p>
      <w:pPr>
        <w:pStyle w:val="Nadpis5"/>
        <w:widowControl/>
        <w:spacing w:lineRule="atLeast" w:line="405" w:before="0" w:after="0"/>
        <w:ind w:left="0" w:right="0" w:hanging="0"/>
        <w:rPr/>
      </w:pPr>
      <w:hyperlink r:id="rId10">
        <w:r>
          <w:rPr>
            <w:rStyle w:val="Silnzvraznenie"/>
            <w:rFonts w:ascii="Times New Roman" w:hAnsi="Times New Roman"/>
            <w:b/>
            <w:i w:val="false"/>
            <w:caps w:val="false"/>
            <w:smallCaps w:val="false"/>
            <w:strike w:val="false"/>
            <w:dstrike w:val="false"/>
            <w:color w:val="auto"/>
            <w:spacing w:val="0"/>
            <w:sz w:val="24"/>
            <w:szCs w:val="24"/>
            <w:u w:val="none"/>
            <w:effect w:val="none"/>
          </w:rPr>
          <w:t>ODDIEL 7: Zaobchádzanie a skladovanie</w:t>
        </w:r>
      </w:hyperlink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7.1. Bezpečnostné opatrenia na bezpečné zaobchádzanie                                                                 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>S prostriedkom sa zaobchádza podľa návodu na použitie, ktorý je uvedený na spotrebiteľskom obale. Dodržujte všeobecné hygienické a bezpečnostné predpisy pre ochranu osôb. Noste vhodné ochranné pracovné prostriedky.                                                                                Z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ákaz jesť, piť a fajčiť.                                                                                                         Zaistiť čistú a suchú podlahu. Pozor na pošmyknutie pri znečistení podlahy, vyliaty prípravok tvorí klzký film na podlahe. Podlahu a predmety znečistené týmto prípravkom umyte vodou.</w:t>
      </w:r>
    </w:p>
    <w:p>
      <w:pPr>
        <w:pStyle w:val="Telotextu"/>
        <w:widowControl/>
        <w:spacing w:before="0" w:after="225"/>
        <w:ind w:left="0" w:right="0" w:hanging="0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auto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>7.2. Podmienky na bezpečné skladovanie vrátane akejkoľvek nekompatibility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 xml:space="preserve">                 Skladovať v čistých, dobre uzatvorených obaloch, chránených skladovacích priestoroch proti vonkajším poveternostným vplyvom pri teplote +5 až +25 °C. Uchovávajte mimo dosahu detí. Záručná doba je 24 mesiacov od dátumu výroby.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7.3. Špecifické konečné použitie(-ia)                                                                                                   </w:t>
      </w:r>
      <w:bookmarkStart w:id="1" w:name="__DdeLink__638_1929572933"/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>saponátový prostriedok</w:t>
      </w:r>
      <w:bookmarkEnd w:id="1"/>
    </w:p>
    <w:p>
      <w:pPr>
        <w:pStyle w:val="Nadpis5"/>
        <w:widowControl/>
        <w:spacing w:lineRule="atLeast" w:line="405" w:before="0" w:after="0"/>
        <w:ind w:left="0" w:right="0" w:hanging="0"/>
        <w:rPr/>
      </w:pPr>
      <w:hyperlink r:id="rId11">
        <w:r>
          <w:rPr>
            <w:rStyle w:val="Silnzvraznenie"/>
            <w:rFonts w:ascii="Times New Roman" w:hAnsi="Times New Roman"/>
            <w:b/>
            <w:i w:val="false"/>
            <w:caps w:val="false"/>
            <w:smallCaps w:val="false"/>
            <w:strike w:val="false"/>
            <w:dstrike w:val="false"/>
            <w:color w:val="auto"/>
            <w:spacing w:val="0"/>
            <w:sz w:val="24"/>
            <w:szCs w:val="24"/>
            <w:u w:val="none"/>
            <w:effect w:val="none"/>
          </w:rPr>
          <w:t>ODDIEL 8: Kontroly expozície/osobná ochrana</w:t>
        </w:r>
      </w:hyperlink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8.1. Kontrolné parametre                                                                                                                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Neobsahuje žiadne látky s hraničnými hodnotami expozície na pracovisku.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8.2. Kontroly expozície                                                                                                              </w:t>
      </w:r>
      <w:r>
        <w:rPr>
          <w:rFonts w:ascii="Times New Roman" w:hAnsi="Times New Roman"/>
          <w:i/>
          <w:iCs/>
          <w:sz w:val="24"/>
          <w:szCs w:val="24"/>
          <w:u w:val="single"/>
        </w:rPr>
        <w:t>Primerané technické zabezpečenie:</w:t>
      </w:r>
      <w:r>
        <w:rPr>
          <w:rFonts w:ascii="Times New Roman" w:hAnsi="Times New Roman"/>
          <w:i w:val="false"/>
          <w:iCs w:val="false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 w:val="false"/>
          <w:iCs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Zaistite dostato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 xml:space="preserve">čnú výmenu vzduchu.                             </w:t>
      </w:r>
      <w:r>
        <w:rPr>
          <w:rFonts w:ascii="Times New Roman" w:hAnsi="Times New Roman"/>
          <w:b w:val="false"/>
          <w:i/>
          <w:iCs/>
          <w:strike w:val="false"/>
          <w:dstrike w:val="false"/>
          <w:outline w:val="false"/>
          <w:shadow w:val="false"/>
          <w:sz w:val="24"/>
          <w:u w:val="single"/>
          <w:em w:val="none"/>
        </w:rPr>
        <w:t>Individuálne ochranné opatrenia, ako napríklad osobné ochranné prostriedky:</w:t>
      </w:r>
      <w:r>
        <w:rPr>
          <w:rFonts w:ascii="Times New Roman" w:hAnsi="Times New Roman"/>
          <w:b w:val="false"/>
          <w:i w:val="false"/>
          <w:iCs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 xml:space="preserve"> Ochrana očí/tváre: zabr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 xml:space="preserve">ániť kontaktu s očami Ochrana kože: používať vhodný pracovný odev, obuv a rukavice odolné voči detergentom Ochrana dýchacích ciest: nie je nutná vo vetraných priestoroch Tepelná nebezpečnosť: neaplikuje sa                                                                     </w:t>
      </w:r>
      <w:r>
        <w:rPr>
          <w:rFonts w:ascii="Times New Roman" w:hAnsi="Times New Roman"/>
          <w:b w:val="false"/>
          <w:i/>
          <w:iCs/>
          <w:strike w:val="false"/>
          <w:dstrike w:val="false"/>
          <w:outline w:val="false"/>
          <w:shadow w:val="false"/>
          <w:sz w:val="24"/>
          <w:u w:val="single"/>
          <w:em w:val="none"/>
        </w:rPr>
        <w:t>Kontroly enviromentálnej expozície:</w:t>
      </w:r>
      <w:r>
        <w:rPr>
          <w:rFonts w:ascii="Times New Roman" w:hAnsi="Times New Roman"/>
          <w:b w:val="false"/>
          <w:i w:val="false"/>
          <w:iCs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 xml:space="preserve"> Zabráňte úniku do povrchových a spodných vôd.</w:t>
      </w:r>
    </w:p>
    <w:p>
      <w:pPr>
        <w:pStyle w:val="Nadpis5"/>
        <w:widowControl/>
        <w:spacing w:lineRule="atLeast" w:line="405" w:before="0" w:after="0"/>
        <w:ind w:left="0" w:right="0" w:hanging="0"/>
        <w:rPr/>
      </w:pPr>
      <w:hyperlink r:id="rId12">
        <w:r>
          <w:rPr>
            <w:rStyle w:val="Silnzvraznenie"/>
            <w:rFonts w:ascii="Times New Roman" w:hAnsi="Times New Roman"/>
            <w:b/>
            <w:i w:val="false"/>
            <w:caps w:val="false"/>
            <w:smallCaps w:val="false"/>
            <w:strike w:val="false"/>
            <w:dstrike w:val="false"/>
            <w:color w:val="auto"/>
            <w:spacing w:val="0"/>
            <w:sz w:val="24"/>
            <w:szCs w:val="24"/>
            <w:u w:val="none"/>
            <w:effect w:val="none"/>
          </w:rPr>
          <w:t>ODDIEL 9: Fyzikálne a chemické vlastnosti</w:t>
        </w:r>
      </w:hyperlink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>9.1. Informácie o základných fyzikálnych a chemických vlastnostiach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Skupenstvo: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viskózna kvapalina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Farba: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červená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Zápach: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kvetinová vôňa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>Teplota topenia/tuhnutia :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údaje nie sú k dispozícíí/neaplikuje sa 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Teplota varu alebo počiatočná teplota varu a rozmedzie teploty varu: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údaje nie sú k dispozícíí/neaplikuje sa 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Horľavosť: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údaje nie sú k dispozícíí/neaplikuje sa 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Dolná a horná medza výbušnosti: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údaje nie sú k dispozícíí/neaplikuje sa 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Teplota vzplanutia: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údaje nie sú k dispozícíí/neaplikuje sa 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Teplota samovznietenia: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údaje nie sú k dispozícíí/neaplikuje sa 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Teplota rozkladu: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údaje nie sú k dispozícíí/neaplikuje sa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>Hodnota pH: 8,5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– 9,0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Kinematická viskozita: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údaje nie sú k dispozícíí/neaplikuje sa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Rozpustnosť: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údaje nie sú k dispozícíí/neaplikuje sa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 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Rozdeľovacia konštanta (hodnota log):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údaje nie sú k dispozícíí/neaplikuje sa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 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Tlak pár: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údaje nie sú k dispozícíí/neaplikuje sa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 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Hustota a/alebo relatívna hustota: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1025-1035 kg/m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position w:val="5"/>
          <w:sz w:val="16"/>
          <w:szCs w:val="16"/>
          <w:u w:val="none"/>
          <w:em w:val="none"/>
        </w:rPr>
        <w:t>3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Relatívna hustota pár: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údaje nie sú k dispozícíí/neaplikuje sa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  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Vlastnosti častíc: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údaje nie sú k dispozícíí/neaplikuje sa    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>9.2. Iné informácie: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9.2.1. Informácie týkajúce sa tried fyzikálnej nebezpečnosti :údaje nie sú k dispozícíí/neaplikuje sa                                                                                                          9.2.2. Ostatné bezpečnostné charakteristiky: údaje nie sú k dispozícíí/neaplikuje sa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                                                         </w:t>
      </w:r>
    </w:p>
    <w:p>
      <w:pPr>
        <w:pStyle w:val="Nadpis5"/>
        <w:widowControl/>
        <w:spacing w:lineRule="atLeast" w:line="405" w:before="0" w:after="0"/>
        <w:ind w:left="0" w:right="0" w:hanging="0"/>
        <w:rPr/>
      </w:pPr>
      <w:hyperlink r:id="rId13">
        <w:r>
          <w:rPr>
            <w:rStyle w:val="Silnzvraznenie"/>
            <w:rFonts w:ascii="Times New Roman" w:hAnsi="Times New Roman"/>
            <w:b/>
            <w:i w:val="false"/>
            <w:caps w:val="false"/>
            <w:smallCaps w:val="false"/>
            <w:strike w:val="false"/>
            <w:dstrike w:val="false"/>
            <w:color w:val="auto"/>
            <w:spacing w:val="0"/>
            <w:sz w:val="24"/>
            <w:szCs w:val="24"/>
            <w:u w:val="none"/>
            <w:effect w:val="none"/>
          </w:rPr>
          <w:t>ODDIEL 10: Stabilita a reaktivita</w:t>
        </w:r>
      </w:hyperlink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10.1. Reaktivita                                                                                                                          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Pri skladovan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í a použití podľa návodu nedochádza k rozkladu.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10.2. Chemická stabilita                                                                                                            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Pri skladovan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í a použití podľa návodu nedochádza k rozkladu.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10.3. Možnosť nebezpečných reakcií                                                                                    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Nemie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šať s inými čistiacimi prostriedkami.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10.4. Podmienky, ktorým sa treba vyhnúť                                                                               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Vysok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é teploty, tlak a priamy oheň.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10.5. Nekompatibilné materiály                                                                                                        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Pri pou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žívaní v súlade s odporučením žiadne.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10.6. Nebezpečné produkty rozkladu                                                                                        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Pri pou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žití v súlade so stanovenými podmienkami nedochádza k rozkladu.</w:t>
      </w:r>
    </w:p>
    <w:p>
      <w:pPr>
        <w:pStyle w:val="Nadpis5"/>
        <w:widowControl/>
        <w:spacing w:lineRule="atLeast" w:line="405" w:before="0" w:after="0"/>
        <w:ind w:left="0" w:right="0" w:hanging="0"/>
        <w:rPr/>
      </w:pPr>
      <w:hyperlink r:id="rId14">
        <w:r>
          <w:rPr>
            <w:rStyle w:val="Silnzvraznenie"/>
            <w:rFonts w:ascii="Times New Roman" w:hAnsi="Times New Roman"/>
            <w:b/>
            <w:i w:val="false"/>
            <w:caps w:val="false"/>
            <w:smallCaps w:val="false"/>
            <w:strike w:val="false"/>
            <w:dstrike w:val="false"/>
            <w:color w:val="auto"/>
            <w:spacing w:val="0"/>
            <w:sz w:val="24"/>
            <w:szCs w:val="24"/>
            <w:u w:val="none"/>
            <w:effect w:val="none"/>
          </w:rPr>
          <w:t>ODDIEL 11: Toxikologické informácie</w:t>
        </w:r>
      </w:hyperlink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>11.1. Informácie o triedach nebezpečnosti vymedzených v nariadení (ES) č. 1272/2008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a) akútna toxicita: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údaje nie sú k dispozícíí/neaplikuje sa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 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b) poleptanie kože/podráždenie kože: dráždi kožu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>c) vážne poškodenie očí/podráždenie očí: s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pôsobuje vážne podráždenie očí.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>d) respiračná alebo kožná senzibilizácia: o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bsahuje methylchloroisothiazolinone a methylisothiazolinone, môže vyvolať alergickú reakciu.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e) mutagenita pre zárodočné bunky: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údaje nie sú k dispozícíí/neaplikuje sa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 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f) karcinogenita: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údaje nie sú k dispozícíí/neaplikuje sa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 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g) reprodukčná toxicita: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údaje nie sú k dispozícíí/neaplikuje sa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 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h) toxicita pre špecifický cieľový orgán (STOT) – jednorazová expozícia: 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údaje nie sú k dispozícíí/neaplikuje sa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 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i) toxicita pre špecifický cieľový orgán (STOT) – opakovaná expozícia: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údaje nie sú k dispozícíí/neaplikuje sa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 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j) aspiračná nebezpečnosť: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údaje nie sú k dispozícíí/neaplikuje sa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 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  </w:t>
      </w:r>
      <w:r>
        <w:rPr>
          <w:rStyle w:val="Silnzvraznenie"/>
          <w:rFonts w:ascii="Times New Roman" w:hAnsi="Times New Roman"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  <w:t>11.2. Informácie o inej nebezpečnosti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Style w:val="Silnzvraznenie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  <w:t xml:space="preserve">11.2.1. Vlastnosti endokrinných disruptorov (rozvracačov): </w:t>
      </w:r>
      <w:r>
        <w:rPr>
          <w:rStyle w:val="Silnzvraznenie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ffect w:val="none"/>
          <w:em w:val="none"/>
        </w:rPr>
        <w:t xml:space="preserve">údaje nie sú k dispozícíí/neaplikuje sa  </w:t>
      </w:r>
      <w:r>
        <w:rPr>
          <w:rStyle w:val="Silnzvraznenie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  <w:t xml:space="preserve">   </w:t>
      </w:r>
    </w:p>
    <w:p>
      <w:pPr>
        <w:pStyle w:val="Telotextu"/>
        <w:widowControl/>
        <w:spacing w:lineRule="atLeast" w:line="405" w:before="0" w:after="225"/>
        <w:ind w:left="0" w:right="0" w:hanging="0"/>
        <w:rPr>
          <w:rStyle w:val="Silnzvraznenie"/>
          <w:b w:val="false"/>
          <w:b w:val="false"/>
          <w:bCs w:val="false"/>
        </w:rPr>
      </w:pPr>
      <w:r>
        <w:rPr>
          <w:rStyle w:val="Silnzvraznenie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  <w:t xml:space="preserve">11.2.2. Iné informácie: </w:t>
      </w:r>
      <w:r>
        <w:rPr>
          <w:rStyle w:val="Silnzvraznenie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ffect w:val="none"/>
          <w:em w:val="none"/>
        </w:rPr>
        <w:t>údaje nie sú k dispozícíí/neaplikuje sa</w:t>
      </w:r>
    </w:p>
    <w:p>
      <w:pPr>
        <w:pStyle w:val="Nadpis5"/>
        <w:widowControl/>
        <w:spacing w:lineRule="atLeast" w:line="405" w:before="0" w:after="0"/>
        <w:ind w:left="0" w:right="0" w:hanging="0"/>
        <w:rPr/>
      </w:pPr>
      <w:r>
        <w:rPr/>
      </w:r>
    </w:p>
    <w:p>
      <w:pPr>
        <w:pStyle w:val="Nadpis5"/>
        <w:widowControl/>
        <w:spacing w:lineRule="atLeast" w:line="405" w:before="0" w:after="0"/>
        <w:ind w:left="0" w:right="0" w:hanging="0"/>
        <w:rPr/>
      </w:pPr>
      <w:hyperlink r:id="rId15">
        <w:r>
          <w:rPr>
            <w:rStyle w:val="Silnzvraznenie"/>
            <w:rFonts w:ascii="Times New Roman" w:hAnsi="Times New Roman"/>
            <w:b/>
            <w:i w:val="false"/>
            <w:caps w:val="false"/>
            <w:smallCaps w:val="false"/>
            <w:strike w:val="false"/>
            <w:dstrike w:val="false"/>
            <w:color w:val="auto"/>
            <w:spacing w:val="0"/>
            <w:sz w:val="24"/>
            <w:szCs w:val="24"/>
            <w:u w:val="none"/>
            <w:effect w:val="none"/>
          </w:rPr>
          <w:t>ODDIEL 12: Ekologické informácie</w:t>
        </w:r>
      </w:hyperlink>
    </w:p>
    <w:p>
      <w:pPr>
        <w:pStyle w:val="Telotextu"/>
        <w:widowControl/>
        <w:spacing w:before="0" w:after="225"/>
        <w:ind w:left="0" w:right="0" w:hanging="0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auto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</w:r>
    </w:p>
    <w:tbl>
      <w:tblPr>
        <w:tblW w:w="9072" w:type="dxa"/>
        <w:jc w:val="left"/>
        <w:tblInd w:w="0" w:type="dxa"/>
        <w:tblBorders>
          <w:top w:val="single" w:sz="2" w:space="0" w:color="FFFFFF"/>
          <w:left w:val="single" w:sz="2" w:space="0" w:color="FFFFFF"/>
          <w:bottom w:val="single" w:sz="2" w:space="0" w:color="FFFFFF"/>
          <w:insideH w:val="single" w:sz="2" w:space="0" w:color="FFFFFF"/>
        </w:tblBorders>
        <w:tblCellMar>
          <w:top w:w="55" w:type="dxa"/>
          <w:left w:w="40" w:type="dxa"/>
          <w:bottom w:w="55" w:type="dxa"/>
          <w:right w:w="55" w:type="dxa"/>
        </w:tblCellMar>
      </w:tblPr>
      <w:tblGrid>
        <w:gridCol w:w="4536"/>
        <w:gridCol w:w="4535"/>
      </w:tblGrid>
      <w:tr>
        <w:trPr>
          <w:trHeight w:val="450" w:hRule="atLeast"/>
        </w:trPr>
        <w:tc>
          <w:tcPr>
            <w:tcW w:w="45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insideH w:val="single" w:sz="2" w:space="0" w:color="FFFFFF"/>
            </w:tcBorders>
            <w:shd w:fill="auto" w:val="clear"/>
          </w:tcPr>
          <w:p>
            <w:pPr>
              <w:pStyle w:val="Telotextu"/>
              <w:widowControl/>
              <w:spacing w:lineRule="auto" w:line="240" w:before="0" w:after="0"/>
              <w:ind w:left="0" w:right="0" w:hanging="0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12.1. Toxicita</w:t>
            </w:r>
          </w:p>
        </w:tc>
        <w:tc>
          <w:tcPr>
            <w:tcW w:w="45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  <w:insideH w:val="single" w:sz="2" w:space="0" w:color="FFFFFF"/>
              <w:insideV w:val="single" w:sz="2" w:space="0" w:color="FFFFFF"/>
            </w:tcBorders>
            <w:shd w:fill="auto" w:val="clear"/>
          </w:tcPr>
          <w:p>
            <w:pPr>
              <w:pStyle w:val="Normal"/>
              <w:spacing w:lineRule="auto" w:line="240" w:before="0" w:after="200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u w:val="none"/>
                <w:em w:val="none"/>
              </w:rPr>
              <w:t>údaje nie sú k dispozícíí/neaplikuje sa</w:t>
            </w:r>
          </w:p>
        </w:tc>
      </w:tr>
      <w:tr>
        <w:trPr/>
        <w:tc>
          <w:tcPr>
            <w:tcW w:w="9071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  <w:insideH w:val="single" w:sz="2" w:space="0" w:color="FFFFFF"/>
              <w:insideV w:val="single" w:sz="2" w:space="0" w:color="FFFFFF"/>
            </w:tcBorders>
            <w:shd w:fill="auto" w:val="clear"/>
          </w:tcPr>
          <w:p>
            <w:pPr>
              <w:pStyle w:val="Telotextu"/>
              <w:widowControl/>
              <w:spacing w:lineRule="auto" w:line="240" w:before="0" w:after="168"/>
              <w:ind w:left="0" w:right="0" w:hanging="0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 xml:space="preserve">12.2. Perzistencia a degradovateľnosť                                                                              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em w:val="none"/>
              </w:rPr>
              <w:t>Biologick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  <w:t>á odbúrateľnosť povrchovo aktívnych látok použitých v tomto prípravku je súlade s kritériami biodegradability podľa Nariadenia EP a ES č. 648/2004 o detergentoch.                Tento dokument potvrdzuje, že všetky povrchovo aktívne látky v produkte dosahujú &gt; 60% degradácie. Prahová hodnota biodegradability (podľa OECD 301) je dosiahnutá.</w:t>
            </w:r>
          </w:p>
        </w:tc>
      </w:tr>
      <w:tr>
        <w:trPr/>
        <w:tc>
          <w:tcPr>
            <w:tcW w:w="45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insideH w:val="single" w:sz="2" w:space="0" w:color="FFFFFF"/>
            </w:tcBorders>
            <w:shd w:fill="auto" w:val="clear"/>
          </w:tcPr>
          <w:p>
            <w:pPr>
              <w:pStyle w:val="Telotextu"/>
              <w:widowControl/>
              <w:spacing w:lineRule="auto" w:line="240" w:before="0" w:after="168"/>
              <w:ind w:left="0" w:right="0" w:hanging="0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12.3. Bioakumulačný potenciál</w:t>
            </w:r>
          </w:p>
        </w:tc>
        <w:tc>
          <w:tcPr>
            <w:tcW w:w="45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  <w:insideH w:val="single" w:sz="2" w:space="0" w:color="FFFFFF"/>
              <w:insideV w:val="single" w:sz="2" w:space="0" w:color="FFFFFF"/>
            </w:tcBorders>
            <w:shd w:fill="auto" w:val="clear"/>
          </w:tcPr>
          <w:p>
            <w:pPr>
              <w:pStyle w:val="Normal"/>
              <w:spacing w:lineRule="auto" w:line="240" w:before="0" w:after="200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u w:val="none"/>
                <w:em w:val="none"/>
              </w:rPr>
              <w:t>údaje nie sú k dispozícíí/neaplikuje sa</w:t>
            </w:r>
          </w:p>
        </w:tc>
      </w:tr>
      <w:tr>
        <w:trPr/>
        <w:tc>
          <w:tcPr>
            <w:tcW w:w="45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insideH w:val="single" w:sz="2" w:space="0" w:color="FFFFFF"/>
            </w:tcBorders>
            <w:shd w:fill="auto" w:val="clear"/>
          </w:tcPr>
          <w:p>
            <w:pPr>
              <w:pStyle w:val="Telotextu"/>
              <w:widowControl/>
              <w:spacing w:lineRule="auto" w:line="240" w:before="0" w:after="111"/>
              <w:ind w:left="0" w:right="0" w:hanging="0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12.4. Mobilita v pôde</w:t>
            </w:r>
          </w:p>
        </w:tc>
        <w:tc>
          <w:tcPr>
            <w:tcW w:w="45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  <w:insideH w:val="single" w:sz="2" w:space="0" w:color="FFFFFF"/>
              <w:insideV w:val="single" w:sz="2" w:space="0" w:color="FFFFFF"/>
            </w:tcBorders>
            <w:shd w:fill="auto" w:val="clear"/>
          </w:tcPr>
          <w:p>
            <w:pPr>
              <w:pStyle w:val="Normal"/>
              <w:spacing w:lineRule="auto" w:line="240" w:before="0" w:after="200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u w:val="none"/>
                <w:em w:val="none"/>
              </w:rPr>
              <w:t>údaje nie sú k dispozícíí/neaplikuje sa</w:t>
            </w:r>
          </w:p>
        </w:tc>
      </w:tr>
      <w:tr>
        <w:trPr/>
        <w:tc>
          <w:tcPr>
            <w:tcW w:w="45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insideH w:val="single" w:sz="2" w:space="0" w:color="FFFFFF"/>
            </w:tcBorders>
            <w:shd w:fill="auto" w:val="clear"/>
          </w:tcPr>
          <w:p>
            <w:pPr>
              <w:pStyle w:val="Telotextu"/>
              <w:widowControl/>
              <w:spacing w:lineRule="auto" w:line="240" w:before="0" w:after="168"/>
              <w:ind w:left="0" w:right="0" w:hanging="0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12.5. Výsledky posúdenia PBT a vPvB</w:t>
            </w:r>
          </w:p>
        </w:tc>
        <w:tc>
          <w:tcPr>
            <w:tcW w:w="45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  <w:insideH w:val="single" w:sz="2" w:space="0" w:color="FFFFFF"/>
              <w:insideV w:val="single" w:sz="2" w:space="0" w:color="FFFFFF"/>
            </w:tcBorders>
            <w:shd w:fill="auto" w:val="clear"/>
          </w:tcPr>
          <w:p>
            <w:pPr>
              <w:pStyle w:val="Normal"/>
              <w:spacing w:lineRule="auto" w:line="240" w:before="0" w:after="200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u w:val="none"/>
                <w:em w:val="none"/>
              </w:rPr>
              <w:t>údaje nie sú k dispozícíí/neaplikuje sa</w:t>
            </w:r>
          </w:p>
        </w:tc>
      </w:tr>
      <w:tr>
        <w:trPr/>
        <w:tc>
          <w:tcPr>
            <w:tcW w:w="45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insideH w:val="single" w:sz="2" w:space="0" w:color="FFFFFF"/>
            </w:tcBorders>
            <w:shd w:fill="auto" w:val="clear"/>
          </w:tcPr>
          <w:p>
            <w:pPr>
              <w:pStyle w:val="Telotextu"/>
              <w:widowControl/>
              <w:spacing w:lineRule="auto" w:line="240" w:before="0" w:after="168"/>
              <w:ind w:left="0" w:right="0" w:hanging="0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12.6. Vlastnosti endokrinných disruptorov (rozvracačov)</w:t>
            </w:r>
          </w:p>
          <w:p>
            <w:pPr>
              <w:pStyle w:val="Telotextu"/>
              <w:widowControl/>
              <w:spacing w:lineRule="auto" w:line="240" w:before="0" w:after="168"/>
              <w:ind w:left="0" w:right="0" w:hanging="0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 xml:space="preserve">12.7. Iné nepriaznivé účinky                               </w:t>
            </w:r>
            <w:bookmarkStart w:id="2" w:name="__DdeLink__840_2894685765"/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auto"/>
                <w:spacing w:val="0"/>
                <w:sz w:val="24"/>
                <w:szCs w:val="24"/>
                <w:u w:val="none"/>
                <w:em w:val="none"/>
              </w:rPr>
              <w:t>údaje nie sú k dispozícíí/neaplikuje sa</w:t>
            </w:r>
            <w:bookmarkEnd w:id="2"/>
          </w:p>
        </w:tc>
        <w:tc>
          <w:tcPr>
            <w:tcW w:w="45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  <w:insideH w:val="single" w:sz="2" w:space="0" w:color="FFFFFF"/>
              <w:insideV w:val="single" w:sz="2" w:space="0" w:color="FFFFFF"/>
            </w:tcBorders>
            <w:shd w:fill="auto" w:val="clear"/>
          </w:tcPr>
          <w:p>
            <w:pPr>
              <w:pStyle w:val="Normal"/>
              <w:spacing w:lineRule="auto" w:line="240" w:before="0" w:after="200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u w:val="none"/>
                <w:em w:val="none"/>
              </w:rPr>
              <w:t>údaje nie sú k dispozícíí/neaplikuje sa</w:t>
            </w:r>
          </w:p>
        </w:tc>
      </w:tr>
    </w:tbl>
    <w:p>
      <w:pPr>
        <w:pStyle w:val="Nadpis5"/>
        <w:widowControl/>
        <w:spacing w:lineRule="atLeast" w:line="405" w:before="0" w:after="0"/>
        <w:ind w:left="0" w:right="0" w:hanging="0"/>
        <w:rPr/>
      </w:pPr>
      <w:hyperlink r:id="rId16">
        <w:r>
          <w:rPr>
            <w:rStyle w:val="Silnzvraznenie"/>
            <w:rFonts w:ascii="Times New Roman" w:hAnsi="Times New Roman"/>
            <w:b/>
            <w:i w:val="false"/>
            <w:caps w:val="false"/>
            <w:smallCaps w:val="false"/>
            <w:strike w:val="false"/>
            <w:dstrike w:val="false"/>
            <w:color w:val="auto"/>
            <w:spacing w:val="0"/>
            <w:sz w:val="24"/>
            <w:szCs w:val="24"/>
            <w:u w:val="none"/>
            <w:effect w:val="none"/>
          </w:rPr>
          <w:br/>
          <w:t>ODDIEL 13: Opatrenia pri zneškodňovaní</w:t>
        </w:r>
      </w:hyperlink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>13.1. Metódy spracovania odpadu</w:t>
      </w:r>
    </w:p>
    <w:p>
      <w:pPr>
        <w:pStyle w:val="Normal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Likvidácia produktu: likvidujte v súlade s miestnymi a národnými predpismi.                                        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Likvidácia obalu: obaly bez zvyškov odovzdajte na skládky zberných surovín.</w:t>
      </w:r>
    </w:p>
    <w:p>
      <w:pPr>
        <w:pStyle w:val="Normal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Zneškodňujte v súlade so Zákonom NR SR 79/2015 o odpadoch a o zmene a doplnení niektorých zákonov ako nebezpečný odpad v povolenom zariadení. Kód odpadu podľa prílohy č.1 k Vyhláške MŽP SR 365/2015, ktorou sa ustanovuje Katalóg odpadov </w:t>
      </w:r>
    </w:p>
    <w:p>
      <w:pPr>
        <w:pStyle w:val="Normal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</w:rPr>
        <w:t xml:space="preserve">Zákon č. 313/2016 Z.z. . Zákon o odpadoch a o zmene a doplnení niektorých zákonov.      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Zabráňte úniku do povrchových a spodných vôd.</w:t>
      </w:r>
    </w:p>
    <w:p>
      <w:pPr>
        <w:pStyle w:val="Telotextu"/>
        <w:widowControl/>
        <w:spacing w:before="0" w:after="225"/>
        <w:ind w:left="0" w:right="0" w:hanging="0"/>
        <w:rPr/>
      </w:pPr>
      <w:hyperlink r:id="rId17">
        <w:r>
          <w:rPr>
            <w:rStyle w:val="Silnzvraznenie"/>
            <w:rFonts w:ascii="Times New Roman" w:hAnsi="Times New Roman"/>
            <w:b/>
            <w:i w:val="false"/>
            <w:caps w:val="false"/>
            <w:smallCaps w:val="false"/>
            <w:strike w:val="false"/>
            <w:dstrike w:val="false"/>
            <w:color w:val="auto"/>
            <w:spacing w:val="0"/>
            <w:sz w:val="24"/>
            <w:szCs w:val="24"/>
            <w:u w:val="none"/>
            <w:effect w:val="none"/>
          </w:rPr>
          <w:br/>
          <w:t>ODDIEL 14: Informácie o doprave</w:t>
        </w:r>
      </w:hyperlink>
    </w:p>
    <w:p>
      <w:pPr>
        <w:pStyle w:val="Normal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Nie je nebezpe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čným tovarom v zmysle ADR/RID, IMDG a ICAO/IATA</w:t>
      </w:r>
    </w:p>
    <w:tbl>
      <w:tblPr>
        <w:tblW w:w="9072" w:type="dxa"/>
        <w:jc w:val="left"/>
        <w:tblInd w:w="0" w:type="dxa"/>
        <w:tblBorders>
          <w:top w:val="single" w:sz="2" w:space="0" w:color="FFFFFF"/>
          <w:left w:val="single" w:sz="2" w:space="0" w:color="FFFFFF"/>
          <w:bottom w:val="single" w:sz="2" w:space="0" w:color="FFFFFF"/>
          <w:insideH w:val="single" w:sz="2" w:space="0" w:color="FFFFFF"/>
        </w:tblBorders>
        <w:tblCellMar>
          <w:top w:w="55" w:type="dxa"/>
          <w:left w:w="40" w:type="dxa"/>
          <w:bottom w:w="55" w:type="dxa"/>
          <w:right w:w="55" w:type="dxa"/>
        </w:tblCellMar>
      </w:tblPr>
      <w:tblGrid>
        <w:gridCol w:w="5399"/>
        <w:gridCol w:w="3672"/>
      </w:tblGrid>
      <w:tr>
        <w:trPr/>
        <w:tc>
          <w:tcPr>
            <w:tcW w:w="5399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insideH w:val="single" w:sz="2" w:space="0" w:color="FFFFFF"/>
            </w:tcBorders>
            <w:shd w:fill="auto" w:val="clear"/>
          </w:tcPr>
          <w:p>
            <w:pPr>
              <w:pStyle w:val="Telotextu"/>
              <w:widowControl/>
              <w:spacing w:before="0" w:after="54"/>
              <w:ind w:left="0" w:right="0" w:hanging="0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14.1. Číslo OSN alebo identifikačné číslo</w:t>
            </w:r>
          </w:p>
        </w:tc>
        <w:tc>
          <w:tcPr>
            <w:tcW w:w="367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  <w:insideH w:val="single" w:sz="2" w:space="0" w:color="FFFFFF"/>
              <w:insideV w:val="single" w:sz="2" w:space="0" w:color="FFFFFF"/>
            </w:tcBorders>
            <w:shd w:fill="auto" w:val="clear"/>
          </w:tcPr>
          <w:p>
            <w:pPr>
              <w:pStyle w:val="Obsahtabuky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neaplikuje sa</w:t>
            </w:r>
          </w:p>
        </w:tc>
      </w:tr>
      <w:tr>
        <w:trPr/>
        <w:tc>
          <w:tcPr>
            <w:tcW w:w="5399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insideH w:val="single" w:sz="2" w:space="0" w:color="FFFFFF"/>
            </w:tcBorders>
            <w:shd w:fill="auto" w:val="clear"/>
          </w:tcPr>
          <w:p>
            <w:pPr>
              <w:pStyle w:val="Telotextu"/>
              <w:widowControl/>
              <w:spacing w:before="0" w:after="168"/>
              <w:ind w:left="0" w:right="0" w:hanging="0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4.2. Správne expedičné označenie OSN</w:t>
            </w:r>
          </w:p>
        </w:tc>
        <w:tc>
          <w:tcPr>
            <w:tcW w:w="367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  <w:insideH w:val="single" w:sz="2" w:space="0" w:color="FFFFFF"/>
              <w:insideV w:val="single" w:sz="2" w:space="0" w:color="FFFFFF"/>
            </w:tcBorders>
            <w:shd w:fill="auto" w:val="clear"/>
          </w:tcPr>
          <w:p>
            <w:pPr>
              <w:pStyle w:val="Obsahtabuky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neaplikuje sa</w:t>
            </w:r>
          </w:p>
        </w:tc>
      </w:tr>
      <w:tr>
        <w:trPr/>
        <w:tc>
          <w:tcPr>
            <w:tcW w:w="5399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insideH w:val="single" w:sz="2" w:space="0" w:color="FFFFFF"/>
            </w:tcBorders>
            <w:shd w:fill="auto" w:val="clear"/>
          </w:tcPr>
          <w:p>
            <w:pPr>
              <w:pStyle w:val="Telotextu"/>
              <w:widowControl/>
              <w:spacing w:before="0" w:after="168"/>
              <w:ind w:left="0" w:right="0" w:hanging="0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4.3. Trieda(-y) nebezpečnosti pre dopravu</w:t>
            </w:r>
          </w:p>
        </w:tc>
        <w:tc>
          <w:tcPr>
            <w:tcW w:w="367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  <w:insideH w:val="single" w:sz="2" w:space="0" w:color="FFFFFF"/>
              <w:insideV w:val="single" w:sz="2" w:space="0" w:color="FFFFFF"/>
            </w:tcBorders>
            <w:shd w:fill="auto" w:val="clear"/>
          </w:tcPr>
          <w:p>
            <w:pPr>
              <w:pStyle w:val="Obsahtabuky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neaplikuje sa</w:t>
            </w:r>
          </w:p>
        </w:tc>
      </w:tr>
      <w:tr>
        <w:trPr/>
        <w:tc>
          <w:tcPr>
            <w:tcW w:w="5399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insideH w:val="single" w:sz="2" w:space="0" w:color="FFFFFF"/>
            </w:tcBorders>
            <w:shd w:fill="auto" w:val="clear"/>
          </w:tcPr>
          <w:p>
            <w:pPr>
              <w:pStyle w:val="Telotextu"/>
              <w:widowControl/>
              <w:spacing w:before="0" w:after="168"/>
              <w:ind w:left="0" w:right="0" w:hanging="0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4.4. Obalová skupina</w:t>
            </w:r>
          </w:p>
        </w:tc>
        <w:tc>
          <w:tcPr>
            <w:tcW w:w="367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  <w:insideH w:val="single" w:sz="2" w:space="0" w:color="FFFFFF"/>
              <w:insideV w:val="single" w:sz="2" w:space="0" w:color="FFFFFF"/>
            </w:tcBorders>
            <w:shd w:fill="auto" w:val="clear"/>
          </w:tcPr>
          <w:p>
            <w:pPr>
              <w:pStyle w:val="Obsahtabuky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neaplikuje sa</w:t>
            </w:r>
          </w:p>
        </w:tc>
      </w:tr>
      <w:tr>
        <w:trPr/>
        <w:tc>
          <w:tcPr>
            <w:tcW w:w="5399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insideH w:val="single" w:sz="2" w:space="0" w:color="FFFFFF"/>
            </w:tcBorders>
            <w:shd w:fill="auto" w:val="clear"/>
          </w:tcPr>
          <w:p>
            <w:pPr>
              <w:pStyle w:val="Telotextu"/>
              <w:widowControl/>
              <w:spacing w:before="0" w:after="168"/>
              <w:ind w:left="0" w:right="0" w:hanging="0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4.5. Nebezpečnosť pre životné prostredie</w:t>
            </w:r>
          </w:p>
        </w:tc>
        <w:tc>
          <w:tcPr>
            <w:tcW w:w="367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  <w:insideH w:val="single" w:sz="2" w:space="0" w:color="FFFFFF"/>
              <w:insideV w:val="single" w:sz="2" w:space="0" w:color="FFFFFF"/>
            </w:tcBorders>
            <w:shd w:fill="auto" w:val="clear"/>
          </w:tcPr>
          <w:p>
            <w:pPr>
              <w:pStyle w:val="Obsahtabuky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neaplikuje sa</w:t>
            </w:r>
          </w:p>
        </w:tc>
      </w:tr>
      <w:tr>
        <w:trPr/>
        <w:tc>
          <w:tcPr>
            <w:tcW w:w="5399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insideH w:val="single" w:sz="2" w:space="0" w:color="FFFFFF"/>
            </w:tcBorders>
            <w:shd w:fill="auto" w:val="clear"/>
          </w:tcPr>
          <w:p>
            <w:pPr>
              <w:pStyle w:val="Telotextu"/>
              <w:widowControl/>
              <w:spacing w:before="0" w:after="168"/>
              <w:ind w:left="0" w:right="0" w:hanging="0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14.6. Osobitné bezpečnostné opatrenia pre užívateľa</w:t>
            </w:r>
          </w:p>
        </w:tc>
        <w:tc>
          <w:tcPr>
            <w:tcW w:w="367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  <w:insideH w:val="single" w:sz="2" w:space="0" w:color="FFFFFF"/>
              <w:insideV w:val="single" w:sz="2" w:space="0" w:color="FFFFFF"/>
            </w:tcBorders>
            <w:shd w:fill="auto" w:val="clear"/>
          </w:tcPr>
          <w:p>
            <w:pPr>
              <w:pStyle w:val="Obsahtabuky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neaplikuje sa</w:t>
            </w:r>
          </w:p>
        </w:tc>
      </w:tr>
      <w:tr>
        <w:trPr/>
        <w:tc>
          <w:tcPr>
            <w:tcW w:w="5399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insideH w:val="single" w:sz="2" w:space="0" w:color="FFFFFF"/>
            </w:tcBorders>
            <w:shd w:fill="auto" w:val="clear"/>
          </w:tcPr>
          <w:p>
            <w:pPr>
              <w:pStyle w:val="Telotextu"/>
              <w:widowControl/>
              <w:spacing w:before="0" w:after="111"/>
              <w:ind w:left="0" w:right="0" w:hanging="0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 xml:space="preserve">14.7. Námorná preprava hromadného nákladu podľa nástrojov IMO </w:t>
            </w:r>
          </w:p>
        </w:tc>
        <w:tc>
          <w:tcPr>
            <w:tcW w:w="367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  <w:insideH w:val="single" w:sz="2" w:space="0" w:color="FFFFFF"/>
              <w:insideV w:val="single" w:sz="2" w:space="0" w:color="FFFFFF"/>
            </w:tcBorders>
            <w:shd w:fill="auto" w:val="clear"/>
          </w:tcPr>
          <w:p>
            <w:pPr>
              <w:pStyle w:val="Obsahtabuky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neaplikuje sa</w:t>
            </w:r>
          </w:p>
        </w:tc>
      </w:tr>
    </w:tbl>
    <w:p>
      <w:pPr>
        <w:pStyle w:val="Nadpis5"/>
        <w:widowControl/>
        <w:spacing w:lineRule="atLeast" w:line="405" w:before="0" w:after="0"/>
        <w:ind w:left="0" w:right="0" w:hanging="0"/>
        <w:rPr/>
      </w:pPr>
      <w:hyperlink r:id="rId18">
        <w:r>
          <w:rPr>
            <w:rStyle w:val="Silnzvraznenie"/>
            <w:rFonts w:ascii="Times New Roman" w:hAnsi="Times New Roman"/>
            <w:b/>
            <w:i w:val="false"/>
            <w:caps w:val="false"/>
            <w:smallCaps w:val="false"/>
            <w:strike w:val="false"/>
            <w:dstrike w:val="false"/>
            <w:color w:val="auto"/>
            <w:spacing w:val="0"/>
            <w:sz w:val="24"/>
            <w:szCs w:val="24"/>
            <w:u w:val="none"/>
            <w:effect w:val="none"/>
          </w:rPr>
          <w:t>ODDIEL 15: Regulačné informácie</w:t>
        </w:r>
      </w:hyperlink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>15.1. Nariadenia/právne predpisy špecifické pre látku alebo zmes v oblasti bezpečnosti, zdravia a životného prostredia</w:t>
      </w:r>
    </w:p>
    <w:p>
      <w:pPr>
        <w:pStyle w:val="Normal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</w:rPr>
        <w:t>Z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 xml:space="preserve">ákon č. 67/2010 Z. z. o podmienkach uvedenia  chemických látok  a chemických zmesí na trh a o zmene a doplnení niektorých zákonov (chemický zákon).                                            Zákon č. 313/2016 Z.z. . Zákon o odpadoch a o zmene a doplnení niektorých zákonov.      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 xml:space="preserve">                                Nariadenie vlády SR č. 355/2006 Z.z. SR, o ochrane zdravia zamestnancov pred rizikami súvisiacimi s expozíciou chemickým faktorom pri práci v znení Nariadenia vlády SR č. 471/2011 Z.z. a súvisiacich predpisov.                                                                                          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 xml:space="preserve">Nariadenie Európskeho parlamentu a Rady (ES) č. 1272/2008 o klasifikácií, označovaní balení látok a zmesí.                                                                                                                                      Nariadenie Európskeho parlamentu a Rady (ES) č. 1907/2006 o registrácií, hodnotení a autorizácií a obmedzovaní chemických látok (REACH) a o zriadení Európskej chemickej agentúry.                                                                                                                          Nariadenie EP a Rady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 xml:space="preserve">č. 1272/2008 (CLP) o klasifikácii, označovaní a balení látok a zmesí, o zmene, doplnení a zrušení smerníc 67/548/EHS a 1999/45/ES a o zmene a doplnení nariadenia (ES) č. 1907/2006.                                                                                                                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>Nariadenie EP a Rady (ES) č. 648/2004 o detergentoch v znení neskorších predpisov.</w:t>
      </w:r>
    </w:p>
    <w:p>
      <w:pPr>
        <w:pStyle w:val="Normal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br/>
        <w:t>15.2. Hodnotenie chemickej bezpečnosti</w:t>
        <w:tab/>
        <w:tab/>
        <w:tab/>
        <w:tab/>
        <w:t>neaplikuje sa</w:t>
      </w:r>
    </w:p>
    <w:p>
      <w:pPr>
        <w:pStyle w:val="Nadpis5"/>
        <w:widowControl/>
        <w:spacing w:lineRule="atLeast" w:line="405" w:before="0" w:after="0"/>
        <w:ind w:left="0" w:right="0" w:hanging="0"/>
        <w:rPr/>
      </w:pPr>
      <w:hyperlink r:id="rId19">
        <w:r>
          <w:rPr>
            <w:rStyle w:val="Silnzvraznenie"/>
            <w:rFonts w:ascii="Times New Roman" w:hAnsi="Times New Roman"/>
            <w:b/>
            <w:i w:val="false"/>
            <w:caps w:val="false"/>
            <w:smallCaps w:val="false"/>
            <w:strike w:val="false"/>
            <w:dstrike w:val="false"/>
            <w:color w:val="auto"/>
            <w:spacing w:val="0"/>
            <w:sz w:val="24"/>
            <w:szCs w:val="24"/>
            <w:u w:val="none"/>
            <w:effect w:val="none"/>
          </w:rPr>
          <w:t>ODDIEL 16: Iné informácie</w:t>
        </w:r>
      </w:hyperlink>
    </w:p>
    <w:p>
      <w:pPr>
        <w:pStyle w:val="Normal"/>
        <w:spacing w:before="0" w:after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200"/>
        <w:rPr/>
      </w:pPr>
      <w:r>
        <w:rPr>
          <w:rFonts w:ascii="Times New Roman" w:hAnsi="Times New Roman"/>
          <w:sz w:val="24"/>
          <w:szCs w:val="24"/>
        </w:rPr>
        <w:t xml:space="preserve">Dôvod revízie : </w:t>
      </w:r>
    </w:p>
    <w:p>
      <w:pPr>
        <w:pStyle w:val="Normal"/>
        <w:spacing w:before="0" w:after="200"/>
        <w:rPr/>
      </w:pPr>
      <w:r>
        <w:rPr>
          <w:rFonts w:ascii="Times New Roman" w:hAnsi="Times New Roman"/>
          <w:sz w:val="24"/>
          <w:szCs w:val="24"/>
        </w:rPr>
        <w:t xml:space="preserve">01.06.2018 -  Doplnené registračné čísla zložiek do bodu 3.                                                                                                                23.11.2020 -  Revízia a úprava klasifikácie zložiek v bode 3.                                                                   </w:t>
      </w:r>
      <w:bookmarkStart w:id="3" w:name="__DdeLink__603_730561409"/>
      <w:r>
        <w:rPr>
          <w:rFonts w:ascii="Times New Roman" w:hAnsi="Times New Roman"/>
          <w:sz w:val="24"/>
          <w:szCs w:val="24"/>
        </w:rPr>
        <w:t xml:space="preserve">31.12.2022 – Revízia a úprava oddielov 9, 11, 12, 14    </w:t>
      </w:r>
      <w:bookmarkEnd w:id="3"/>
      <w:r>
        <w:rPr>
          <w:rFonts w:ascii="Times New Roman" w:hAnsi="Times New Roman"/>
          <w:sz w:val="24"/>
          <w:szCs w:val="24"/>
        </w:rPr>
        <w:t xml:space="preserve">                                              31.12.2024 – Doplnený UFI kód </w:t>
      </w:r>
    </w:p>
    <w:p>
      <w:pPr>
        <w:pStyle w:val="Normal"/>
        <w:spacing w:before="0" w:after="200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Pln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é znenie H - viet z bodu 3</w:t>
      </w:r>
    </w:p>
    <w:p>
      <w:pPr>
        <w:pStyle w:val="Normal"/>
        <w:spacing w:before="0" w:after="200"/>
        <w:rPr/>
      </w:pPr>
      <w:r>
        <w:rPr>
          <w:rFonts w:ascii="Times New Roman" w:hAnsi="Times New Roman"/>
          <w:sz w:val="24"/>
          <w:szCs w:val="24"/>
        </w:rPr>
        <w:t xml:space="preserve">H301 -  Toxický po požití.                                                                                                                          H302 – Škodlivý po požití.                                                                                                                              H310 – Smrteľný pri kontakte s pokožkou.                                                                                               H314 – Spôsobuje vážne poleptanie kože a poškodenie očí.                                                                           H315 – Dráždi kožu.                                                                                                                                                                     H317 – Môže vyvolať alergickú kožnú reakciu.                                                                                         H318 – Spôsobuje vážne poškodenie očí.                                                                                                        H330 – Smrteľný pri vdýchnutí.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H400 – Veľmi toxický pre vodné organizmy.                                                                                                                      H410  – Veľmi toxický pre vodné organizmy, s dlhodobými účinkami.                                                                       H412 – Škodlivý pre vodné organizmy, s dlhodobými účinkami. </w:t>
      </w:r>
    </w:p>
    <w:p>
      <w:pPr>
        <w:pStyle w:val="Normal"/>
        <w:spacing w:before="0" w:after="200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 xml:space="preserve">Údaje uvedené v tejto karte bezpečnostných údajov odpovedajú súčasnému stavu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>vedomosti a skúsenosti a sú v súlade s platnými právnymi predpismi.                                                           V prípade použitia prípravku iným spôsobom ako je doporučované v tejto karte bezpečnostných údajov, výrobca ani dodávateľ nezodpovedá za prípadnú vzniknutú škodu.</w:t>
      </w:r>
    </w:p>
    <w:p>
      <w:pPr>
        <w:pStyle w:val="Normal"/>
        <w:spacing w:before="0" w:after="200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</w:r>
    </w:p>
    <w:p>
      <w:pPr>
        <w:pStyle w:val="Normal"/>
        <w:spacing w:before="0" w:after="200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</w:r>
    </w:p>
    <w:p>
      <w:pPr>
        <w:pStyle w:val="Normal"/>
        <w:spacing w:before="0" w:after="200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outline w:val="false"/>
          <w:shadow w:val="false"/>
          <w:color w:val="000000"/>
          <w:u w:val="none"/>
          <w:em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u w:val="none"/>
          <w:em w:val="none"/>
        </w:rPr>
      </w:r>
    </w:p>
    <w:p>
      <w:pPr>
        <w:pStyle w:val="Normal"/>
        <w:spacing w:before="0" w:after="200"/>
        <w:rPr/>
      </w:pPr>
      <w:r>
        <w:rPr/>
      </w:r>
    </w:p>
    <w:sectPr>
      <w:headerReference w:type="default" r:id="rId20"/>
      <w:footerReference w:type="default" r:id="rId21"/>
      <w:type w:val="nextPage"/>
      <w:pgSz w:w="11906" w:h="16838"/>
      <w:pgMar w:left="1417" w:right="1417" w:header="1417" w:top="1969" w:footer="1417" w:bottom="1969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erif">
    <w:altName w:val="Times New Roman"/>
    <w:charset w:val="ee"/>
    <w:family w:val="swiss"/>
    <w:pitch w:val="variable"/>
  </w:font>
  <w:font w:name="OpenSymbol">
    <w:altName w:val="Arial Unicode MS"/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ta"/>
      <w:spacing w:before="0" w:after="200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10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lavika"/>
      <w:spacing w:before="0" w:after="200"/>
      <w:jc w:val="center"/>
      <w:rPr/>
    </w:pPr>
    <w:r>
      <w:rPr/>
      <w:t>KBÚ  PEDANT 10 PROFESIONÁL</w:t>
    </w:r>
  </w:p>
</w:hdr>
</file>

<file path=word/settings.xml><?xml version="1.0" encoding="utf-8"?>
<w:settings xmlns:w="http://schemas.openxmlformats.org/wordprocessingml/2006/main">
  <w:zoom w:percent="100"/>
  <w:defaultTabStop w:val="347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sk-SK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e57da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sk-SK" w:eastAsia="en-US" w:bidi="ar-SA"/>
    </w:rPr>
  </w:style>
  <w:style w:type="paragraph" w:styleId="Nadpis5">
    <w:name w:val="Heading 5"/>
    <w:basedOn w:val="Nadpis"/>
    <w:qFormat/>
    <w:pPr>
      <w:spacing w:before="120" w:after="60"/>
      <w:outlineLvl w:val="4"/>
    </w:pPr>
    <w:rPr>
      <w:rFonts w:ascii="Liberation Serif" w:hAnsi="Liberation Serif" w:eastAsia="Segoe UI" w:cs="Tahoma"/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ilnzvraznenie">
    <w:name w:val="Silné zvýraznenie"/>
    <w:qFormat/>
    <w:rPr>
      <w:b/>
      <w:bCs/>
    </w:rPr>
  </w:style>
  <w:style w:type="character" w:styleId="Internetovodkaz">
    <w:name w:val="Internetový odkaz"/>
    <w:rPr>
      <w:color w:val="000080"/>
      <w:u w:val="single"/>
      <w:lang w:val="zxx" w:eastAsia="zxx" w:bidi="zxx"/>
    </w:rPr>
  </w:style>
  <w:style w:type="character" w:styleId="Odrky">
    <w:name w:val="Odrážky"/>
    <w:qFormat/>
    <w:rPr>
      <w:rFonts w:ascii="OpenSymbol" w:hAnsi="OpenSymbol" w:eastAsia="OpenSymbol" w:cs="OpenSymbol"/>
    </w:rPr>
  </w:style>
  <w:style w:type="character" w:styleId="ListLabel1">
    <w:name w:val="ListLabel 1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2">
    <w:name w:val="ListLabel 2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character" w:styleId="ListLabel3">
    <w:name w:val="ListLabel 3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4">
    <w:name w:val="ListLabel 4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character" w:styleId="ListLabel5">
    <w:name w:val="ListLabel 5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6">
    <w:name w:val="ListLabel 6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character" w:styleId="ListLabel7">
    <w:name w:val="ListLabel 7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8">
    <w:name w:val="ListLabel 8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character" w:styleId="ListLabel9">
    <w:name w:val="ListLabel 9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10">
    <w:name w:val="ListLabel 10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character" w:styleId="ListLabel11">
    <w:name w:val="ListLabel 11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12">
    <w:name w:val="ListLabel 12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character" w:styleId="ListLabel13">
    <w:name w:val="ListLabel 13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14">
    <w:name w:val="ListLabel 14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character" w:styleId="ListLabel15">
    <w:name w:val="ListLabel 15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16">
    <w:name w:val="ListLabel 16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character" w:styleId="ListLabel17">
    <w:name w:val="ListLabel 17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18">
    <w:name w:val="ListLabel 18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character" w:styleId="ListLabel19">
    <w:name w:val="ListLabel 19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20">
    <w:name w:val="ListLabel 20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character" w:styleId="ListLabel21">
    <w:name w:val="ListLabel 21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22">
    <w:name w:val="ListLabel 22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character" w:styleId="ListLabel23">
    <w:name w:val="ListLabel 23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24">
    <w:name w:val="ListLabel 24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character" w:styleId="ListLabel25">
    <w:name w:val="ListLabel 25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26">
    <w:name w:val="ListLabel 26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character" w:styleId="ListLabel27">
    <w:name w:val="ListLabel 27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28">
    <w:name w:val="ListLabel 28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character" w:styleId="ListLabel29">
    <w:name w:val="ListLabel 29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30">
    <w:name w:val="ListLabel 30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character" w:styleId="ListLabel31">
    <w:name w:val="ListLabel 31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32">
    <w:name w:val="ListLabel 32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character" w:styleId="ListLabel33">
    <w:name w:val="ListLabel 33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34">
    <w:name w:val="ListLabel 34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character" w:styleId="ListLabel35">
    <w:name w:val="ListLabel 35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36">
    <w:name w:val="ListLabel 36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character" w:styleId="ListLabel37">
    <w:name w:val="ListLabel 37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38">
    <w:name w:val="ListLabel 38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character" w:styleId="ListLabel39">
    <w:name w:val="ListLabel 39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40">
    <w:name w:val="ListLabel 40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pPr>
      <w:spacing w:lineRule="auto" w:line="276" w:before="0" w:after="140"/>
    </w:pPr>
    <w:rPr/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50db4"/>
    <w:pPr>
      <w:spacing w:before="0" w:after="200"/>
      <w:ind w:left="720" w:hanging="0"/>
      <w:contextualSpacing/>
    </w:pPr>
    <w:rPr/>
  </w:style>
  <w:style w:type="paragraph" w:styleId="Obsahtabuky">
    <w:name w:val="Obsah tabuľky"/>
    <w:basedOn w:val="Normal"/>
    <w:qFormat/>
    <w:pPr>
      <w:suppressLineNumbers/>
    </w:pPr>
    <w:rPr/>
  </w:style>
  <w:style w:type="paragraph" w:styleId="Hlavika">
    <w:name w:val="Header"/>
    <w:basedOn w:val="Normal"/>
    <w:pPr>
      <w:suppressLineNumbers/>
      <w:tabs>
        <w:tab w:val="center" w:pos="4536" w:leader="none"/>
        <w:tab w:val="right" w:pos="9072" w:leader="none"/>
      </w:tabs>
    </w:pPr>
    <w:rPr/>
  </w:style>
  <w:style w:type="paragraph" w:styleId="Pta">
    <w:name w:val="Footer"/>
    <w:basedOn w:val="Normal"/>
    <w:pPr>
      <w:suppressLineNumbers/>
      <w:tabs>
        <w:tab w:val="center" w:pos="4536" w:leader="none"/>
        <w:tab w:val="right" w:pos="9072" w:leader="none"/>
      </w:tabs>
    </w:pPr>
    <w:rPr/>
  </w:style>
  <w:style w:type="paragraph" w:styleId="Caption2">
    <w:name w:val="Caption2"/>
    <w:basedOn w:val="Normal"/>
    <w:next w:val="Normal"/>
    <w:qFormat/>
    <w:pPr>
      <w:spacing w:before="20" w:after="20"/>
    </w:pPr>
    <w:rPr>
      <w:b/>
    </w:rPr>
  </w:style>
  <w:style w:type="paragraph" w:styleId="Caption3">
    <w:name w:val="Caption3"/>
    <w:basedOn w:val="Caption2"/>
    <w:qFormat/>
    <w:pPr/>
    <w:rPr>
      <w:b w:val="false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ekotoxcenters.eu/karta-bezpecnostnych-udajov/format-karty-bezpecnostnych-udajov/oddiel-1/" TargetMode="External"/><Relationship Id="rId3" Type="http://schemas.openxmlformats.org/officeDocument/2006/relationships/hyperlink" Target="http://www.perfe.sk/" TargetMode="External"/><Relationship Id="rId4" Type="http://schemas.openxmlformats.org/officeDocument/2006/relationships/hyperlink" Target="https://ekotoxcenters.eu/karta-bezpecnostnych-udajov/format-karty-bezpecnostnych-udajov/oddiel-2/" TargetMode="External"/><Relationship Id="rId5" Type="http://schemas.openxmlformats.org/officeDocument/2006/relationships/image" Target="media/image1.jpeg"/><Relationship Id="rId6" Type="http://schemas.openxmlformats.org/officeDocument/2006/relationships/hyperlink" Target="https://ekotoxcenters.eu/karta-bezpecnostnych-udajov/format-karty-bezpecnostnych-udajov/oddiel-3/" TargetMode="External"/><Relationship Id="rId7" Type="http://schemas.openxmlformats.org/officeDocument/2006/relationships/hyperlink" Target="https://ekotoxcenters.eu/karta-bezpecnostnych-udajov/format-karty-bezpecnostnych-udajov/oddiel-4/" TargetMode="External"/><Relationship Id="rId8" Type="http://schemas.openxmlformats.org/officeDocument/2006/relationships/hyperlink" Target="https://ekotoxcenters.eu/karta-bezpecnostnych-udajov/format-karty-bezpecnostnych-udajov/oddiel-5/" TargetMode="External"/><Relationship Id="rId9" Type="http://schemas.openxmlformats.org/officeDocument/2006/relationships/hyperlink" Target="https://ekotoxcenters.eu/karta-bezpecnostnych-udajov/format-karty-bezpecnostnych-udajov/oddiel-6/" TargetMode="External"/><Relationship Id="rId10" Type="http://schemas.openxmlformats.org/officeDocument/2006/relationships/hyperlink" Target="https://ekotoxcenters.eu/karta-bezpecnostnych-udajov/format-karty-bezpecnostnych-udajov/oddiel-7/" TargetMode="External"/><Relationship Id="rId11" Type="http://schemas.openxmlformats.org/officeDocument/2006/relationships/hyperlink" Target="https://ekotoxcenters.eu/karta-bezpecnostnych-udajov/format-karty-bezpecnostnych-udajov/oddiel-8/" TargetMode="External"/><Relationship Id="rId12" Type="http://schemas.openxmlformats.org/officeDocument/2006/relationships/hyperlink" Target="https://ekotoxcenters.eu/karta-bezpecnostnych-udajov/format-karty-bezpecnostnych-udajov/oddiel-9/" TargetMode="External"/><Relationship Id="rId13" Type="http://schemas.openxmlformats.org/officeDocument/2006/relationships/hyperlink" Target="https://ekotoxcenters.eu/karta-bezpecnostnych-udajov/format-karty-bezpecnostnych-udajov/oddiel-10/" TargetMode="External"/><Relationship Id="rId14" Type="http://schemas.openxmlformats.org/officeDocument/2006/relationships/hyperlink" Target="https://ekotoxcenters.eu/karta-bezpecnostnych-udajov/format-karty-bezpecnostnych-udajov/oddiel-11/" TargetMode="External"/><Relationship Id="rId15" Type="http://schemas.openxmlformats.org/officeDocument/2006/relationships/hyperlink" Target="https://ekotoxcenters.eu/karta-bezpecnostnych-udajov/format-karty-bezpecnostnych-udajov/oddiel-12/" TargetMode="External"/><Relationship Id="rId16" Type="http://schemas.openxmlformats.org/officeDocument/2006/relationships/hyperlink" Target="https://ekotoxcenters.eu/karta-bezpecnostnych-udajov/format-karty-bezpecnostnych-udajov/oddiel-13/" TargetMode="External"/><Relationship Id="rId17" Type="http://schemas.openxmlformats.org/officeDocument/2006/relationships/hyperlink" Target="https://ekotoxcenters.eu/karta-bezpecnostnych-udajov/format-karty-bezpecnostnych-udajov/oddiel-14/" TargetMode="External"/><Relationship Id="rId18" Type="http://schemas.openxmlformats.org/officeDocument/2006/relationships/hyperlink" Target="https://ekotoxcenters.eu/karta-bezpecnostnych-udajov/format-karty-bezpecnostnych-udajov/oddiel-15/" TargetMode="External"/><Relationship Id="rId19" Type="http://schemas.openxmlformats.org/officeDocument/2006/relationships/hyperlink" Target="https://ekotoxcenters.eu/karta-bezpecnostnych-udajov/format-karty-bezpecnostnych-udajov/oddiel-16/" TargetMode="External"/><Relationship Id="rId20" Type="http://schemas.openxmlformats.org/officeDocument/2006/relationships/header" Target="header1.xml"/><Relationship Id="rId21" Type="http://schemas.openxmlformats.org/officeDocument/2006/relationships/footer" Target="footer1.xml"/><Relationship Id="rId22" Type="http://schemas.openxmlformats.org/officeDocument/2006/relationships/fontTable" Target="fontTable.xml"/><Relationship Id="rId23" Type="http://schemas.openxmlformats.org/officeDocument/2006/relationships/settings" Target="settings.xml"/><Relationship Id="rId2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Application>LibreOffice/6.0.5.2$Windows_x86 LibreOffice_project/54c8cbb85f300ac59db32fe8a675ff7683cd5a16</Application>
  <Pages>10</Pages>
  <Words>2134</Words>
  <Characters>13267</Characters>
  <CharactersWithSpaces>23598</CharactersWithSpaces>
  <Paragraphs>193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2017-04-26T04:57:00Z</dcterms:created>
  <dc:creator>PERFEKT</dc:creator>
  <dc:description/>
  <dc:language>en-US</dc:language>
  <cp:lastModifiedBy/>
  <cp:lastPrinted>2019-03-05T13:10:56Z</cp:lastPrinted>
  <dcterms:modified xsi:type="dcterms:W3CDTF">2024-12-10T15:11:42Z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